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48"/>
        <w:rPr>
          <w:rFonts w:hint="eastAsia"/>
        </w:rPr>
      </w:pPr>
      <w:r>
        <w:rPr>
          <w:rFonts w:hint="eastAsia"/>
        </w:rPr>
      </w:r>
      <w:r/>
    </w:p>
    <w:p>
      <w:pPr>
        <w:pStyle w:val="959"/>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firstLine="1506"/>
        <w:rPr>
          <w:rFonts w:ascii="Times New Roman" w:hAnsi="Times New Roman" w:eastAsia="宋体" w:cs="Times New Roman"/>
          <w:b/>
          <w:color w:val="000000"/>
          <w:sz w:val="30"/>
          <w:szCs w:val="30"/>
          <w:lang w:val="en-US" w:eastAsia="zh-CN"/>
        </w:rPr>
      </w:pPr>
      <w:r>
        <w:rPr>
          <w:rFonts w:hint="eastAsia" w:ascii="Times New Roman" w:hAnsi="Times New Roman" w:eastAsia="宋体" w:cs="Times New Roman"/>
          <w:b/>
          <w:color w:val="000000"/>
          <w:sz w:val="30"/>
          <w:szCs w:val="30"/>
          <w:lang w:eastAsia="zh-CN"/>
        </w:rPr>
        <w:t xml:space="preserve">项目名称：南京市中医院夫子庙院区无障碍垂直电梯</w:t>
      </w:r>
      <w:r>
        <w:rPr>
          <w:rFonts w:ascii="Times New Roman" w:hAnsi="Times New Roman" w:eastAsia="宋体" w:cs="Times New Roman"/>
          <w:b/>
          <w:color w:val="000000"/>
          <w:sz w:val="30"/>
          <w:szCs w:val="30"/>
          <w:lang w:val="en-US" w:eastAsia="zh-CN"/>
        </w:rPr>
      </w:r>
      <w:r/>
    </w:p>
    <w:p>
      <w:pPr>
        <w:pStyle w:val="869"/>
        <w:ind w:firstLine="1506"/>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项目编号：JSZC-320100-JZCG-G2026-0143</w:t>
      </w:r>
      <w:r>
        <w:rPr>
          <w:rFonts w:hint="eastAsia" w:ascii="Times New Roman" w:hAnsi="Times New Roman" w:eastAsia="宋体" w:cs="Times New Roman"/>
          <w:b/>
          <w:color w:val="00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81"/>
        <w:rPr>
          <w:rFonts w:hint="eastAsia"/>
        </w:rPr>
      </w:pPr>
      <w:r>
        <w:rPr>
          <w:rFonts w:hint="eastAsia"/>
        </w:rPr>
      </w:r>
      <w:r/>
    </w:p>
    <w:p>
      <w:pPr>
        <w:pStyle w:val="869"/>
        <w:rPr>
          <w:rFonts w:hint="eastAsia"/>
        </w:rPr>
      </w:pPr>
      <w:r>
        <w:rPr>
          <w:rFonts w:hint="eastAsia"/>
        </w:rPr>
      </w:r>
      <w:r/>
    </w:p>
    <w:p>
      <w:pPr>
        <w:pStyle w:val="881"/>
        <w:rPr>
          <w:rFonts w:hint="eastAsia"/>
        </w:rPr>
      </w:pPr>
      <w:r>
        <w:rPr>
          <w:rFonts w:hint="eastAsia"/>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59"/>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69"/>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513029200"/>
      <w:r/>
      <w:bookmarkStart w:id="3" w:name="_Toc20823272"/>
      <w:r/>
      <w:bookmarkStart w:id="4" w:name="_Toc16938516"/>
      <w:r/>
      <w:bookmarkStart w:id="5" w:name="_Toc47975720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bookmarkEnd w:id="0"/>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28</w:t>
      </w:r>
      <w:r>
        <w:rPr>
          <w:rFonts w:hint="eastAsia" w:ascii="黑体" w:hAnsi="宋体" w:eastAsia="黑体" w:cs="Times New Roman"/>
          <w:color w:val="000000"/>
          <w:sz w:val="36"/>
          <w:szCs w:val="21"/>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pStyle w:val="869"/>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69"/>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lang w:eastAsia="zh-CN"/>
        </w:rPr>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宋体" w:hAnsi="宋体" w:eastAsia="宋体" w:cs="Times New Roman"/>
          <w:b w:val="0"/>
          <w:bCs w:val="0"/>
          <w:color w:val="000000"/>
          <w:sz w:val="24"/>
          <w:szCs w:val="24"/>
          <w:lang w:eastAsia="zh-CN"/>
        </w:rPr>
        <w:t xml:space="preserve">受</w:t>
      </w:r>
      <w:bookmarkStart w:id="12" w:name="OLE_LINK3"/>
      <w:r>
        <w:rPr>
          <w:rFonts w:hint="eastAsia" w:ascii="宋体" w:hAnsi="宋体" w:eastAsia="宋体" w:cs="Times New Roman"/>
          <w:b w:val="0"/>
          <w:bCs w:val="0"/>
          <w:color w:val="000000"/>
          <w:sz w:val="24"/>
          <w:szCs w:val="24"/>
          <w:lang w:eastAsia="zh-CN"/>
        </w:rPr>
        <w:t xml:space="preserve">南京市中医院</w:t>
      </w:r>
      <w:bookmarkEnd w:id="12"/>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采购</w:t>
      </w:r>
      <w:r>
        <w:rPr>
          <w:rFonts w:hint="eastAsia" w:ascii="宋体" w:hAnsi="宋体" w:eastAsia="宋体" w:cs="Times New Roman"/>
          <w:b w:val="0"/>
          <w:bCs w:val="0"/>
          <w:color w:val="000000"/>
          <w:sz w:val="24"/>
          <w:szCs w:val="24"/>
          <w:lang w:eastAsia="zh-CN"/>
        </w:rPr>
        <w:t xml:space="preserve">单位）委托，南京市公共资源交易中心（</w:t>
      </w:r>
      <w:r>
        <w:rPr>
          <w:rFonts w:hint="eastAsia" w:ascii="宋体" w:hAnsi="宋体" w:eastAsia="宋体" w:cs="Times New Roman"/>
          <w:b w:val="0"/>
          <w:bCs w:val="0"/>
          <w:color w:val="000000"/>
          <w:sz w:val="24"/>
          <w:szCs w:val="24"/>
          <w:lang w:val="en-US" w:eastAsia="zh-CN"/>
        </w:rPr>
        <w:t xml:space="preserve">以下简称“交易中心”</w:t>
      </w:r>
      <w:r>
        <w:rPr>
          <w:rFonts w:hint="eastAsia" w:ascii="宋体" w:hAnsi="宋体" w:eastAsia="宋体" w:cs="Times New Roman"/>
          <w:b w:val="0"/>
          <w:bCs w:val="0"/>
          <w:color w:val="000000"/>
          <w:sz w:val="24"/>
          <w:szCs w:val="24"/>
          <w:lang w:eastAsia="zh-CN"/>
        </w:rPr>
        <w:t xml:space="preserve">）就南京市中医院夫子庙院区无障碍垂直电梯</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项目名称</w:t>
      </w:r>
      <w:r>
        <w:rPr>
          <w:rFonts w:hint="eastAsia" w:ascii="宋体" w:hAnsi="宋体" w:eastAsia="宋体" w:cs="Times New Roman"/>
          <w:b w:val="0"/>
          <w:bCs w:val="0"/>
          <w:color w:val="000000"/>
          <w:sz w:val="24"/>
          <w:szCs w:val="24"/>
          <w:lang w:val="en-US" w:eastAsia="zh-CN"/>
        </w:rPr>
        <w:t xml:space="preserve">）</w:t>
      </w:r>
      <w:r>
        <w:rPr>
          <w:rFonts w:hint="eastAsia" w:ascii="宋体" w:hAnsi="宋体" w:eastAsia="宋体" w:cs="Times New Roman"/>
          <w:b w:val="0"/>
          <w:bCs w:val="0"/>
          <w:color w:val="000000"/>
          <w:sz w:val="24"/>
          <w:szCs w:val="24"/>
          <w:lang w:eastAsia="zh-CN"/>
        </w:rPr>
        <w:t xml:space="preserve">进行公开招标采购，欢迎符合条件的供应商投标。</w:t>
      </w:r>
      <w:r>
        <w:rPr>
          <w:rFonts w:hint="eastAsia" w:ascii="宋体" w:hAnsi="宋体" w:eastAsia="宋体" w:cs="Times New Roman"/>
          <w:b w:val="0"/>
          <w:bCs w:val="0"/>
          <w:color w:val="000000"/>
          <w:sz w:val="24"/>
          <w:szCs w:val="24"/>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rPr>
      </w:pPr>
      <w:r/>
      <w:bookmarkEnd w:id="11"/>
      <w:r/>
      <w:bookmarkStart w:id="13" w:name="_Toc28359080"/>
      <w:r/>
      <w:bookmarkStart w:id="14" w:name="_Toc38985264"/>
      <w:r/>
      <w:bookmarkStart w:id="15" w:name="_Toc28359003"/>
      <w:r/>
      <w:bookmarkStart w:id="16" w:name="_Toc35393622"/>
      <w:r/>
      <w:bookmarkStart w:id="17" w:name="_Toc3539379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JSZC-320100-JZCG-G2026-0143 </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b w:val="0"/>
          <w:bCs w:val="0"/>
          <w:color w:val="000000"/>
          <w:sz w:val="24"/>
          <w:szCs w:val="24"/>
          <w:lang w:eastAsia="zh-CN"/>
        </w:rPr>
        <w:t xml:space="preserve">南京市中医院夫子庙院区无障碍垂直电梯</w:t>
      </w:r>
      <w:r>
        <w:rPr>
          <w:rFonts w:hint="eastAsia" w:ascii="宋体" w:hAnsi="宋体" w:eastAsia="宋体"/>
          <w:color w:val="000000"/>
          <w:sz w:val="24"/>
          <w:szCs w:val="24"/>
          <w:lang w:eastAsia="zh-CN"/>
        </w:rPr>
      </w:r>
      <w:r/>
    </w:p>
    <w:p>
      <w:pPr>
        <w:pStyle w:val="869"/>
        <w:ind w:firstLine="480"/>
        <w:pageBreakBefore w:val="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35万元</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35万元</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eastAsia="宋体" w:cs="宋体"/>
          <w:color w:val="000000"/>
          <w:sz w:val="24"/>
          <w:szCs w:val="24"/>
          <w:highlight w:val="none"/>
          <w:lang w:val="en-US" w:eastAsia="zh-CN"/>
        </w:rPr>
        <w:t xml:space="preserve">南京市中医院夫子庙院区门诊楼更换电梯项目，包含</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台旧电梯报废拆除、回收；现场井道、机房、厅门等土建整改；新电梯供货安装验收</w:t>
      </w:r>
      <w:r>
        <w:rPr>
          <w:rFonts w:hint="eastAsia" w:ascii="宋体" w:hAnsi="宋体" w:cs="宋体"/>
          <w:color w:val="000000"/>
          <w:sz w:val="24"/>
          <w:szCs w:val="24"/>
          <w:highlight w:val="none"/>
          <w:lang w:val="en-US" w:eastAsia="zh-CN"/>
        </w:rPr>
        <w:t xml:space="preserve">合格、证件办理等</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45天。</w:t>
      </w:r>
      <w:r>
        <w:rPr>
          <w:rFonts w:hint="eastAsia" w:ascii="宋体" w:hAnsi="宋体" w:eastAsia="宋体"/>
          <w:color w:val="000000"/>
          <w:sz w:val="24"/>
          <w:szCs w:val="24"/>
          <w:lang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rPr>
          <w:rFonts w:hint="eastAsia"/>
          <w:color w:val="000000"/>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color w:val="000000"/>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宋体"/>
          <w:b w:val="0"/>
          <w:bCs w:val="0"/>
          <w:color w:val="000000"/>
          <w:sz w:val="24"/>
          <w:szCs w:val="24"/>
          <w:highlight w:val="none"/>
        </w:rPr>
      </w:pPr>
      <w:r/>
      <w:bookmarkStart w:id="18" w:name="_Toc35393623"/>
      <w:r/>
      <w:bookmarkStart w:id="19" w:name="_Toc35393792"/>
      <w:r/>
      <w:bookmarkStart w:id="20" w:name="_Toc28359004"/>
      <w:r/>
      <w:bookmarkStart w:id="21" w:name="_Toc38985265"/>
      <w:r/>
      <w:bookmarkStart w:id="22" w:name="_Toc28359081"/>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69"/>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lang w:val="en-US" w:eastAsia="zh-CN"/>
        </w:rPr>
        <w:t xml:space="preserve">3.在</w:t>
      </w:r>
      <w:r>
        <w:rPr>
          <w:rFonts w:hint="eastAsia" w:ascii="宋体" w:hAnsi="宋体" w:eastAsia="宋体" w:cs="Times New Roman"/>
          <w:color w:val="000000"/>
          <w:sz w:val="24"/>
          <w:szCs w:val="24"/>
        </w:rPr>
        <w:t xml:space="preserve">“信用中国”网站（www.creditchina.gov.cn）</w:t>
      </w:r>
      <w:r>
        <w:rPr>
          <w:rFonts w:hint="eastAsia" w:ascii="宋体" w:hAnsi="宋体" w:eastAsia="宋体" w:cs="Times New Roman"/>
          <w:color w:val="000000"/>
          <w:sz w:val="24"/>
          <w:szCs w:val="24"/>
          <w:lang w:val="en-US" w:eastAsia="zh-CN"/>
        </w:rPr>
        <w:t xml:space="preserve">查询，不存在被</w:t>
      </w:r>
      <w:r>
        <w:rPr>
          <w:rFonts w:hint="eastAsia" w:ascii="宋体" w:hAnsi="宋体" w:eastAsia="宋体" w:cs="Times New Roman"/>
          <w:color w:val="000000"/>
          <w:sz w:val="24"/>
          <w:szCs w:val="24"/>
        </w:rPr>
        <w:t xml:space="preserve">列入失信被执行人、重大税收违法案件当事人名单、政府采购严重违法失信行为记录名单</w:t>
      </w:r>
      <w:r>
        <w:rPr>
          <w:rFonts w:hint="eastAsia" w:ascii="宋体" w:hAnsi="宋体" w:eastAsia="宋体" w:cs="Times New Roman"/>
          <w:color w:val="000000"/>
          <w:sz w:val="24"/>
          <w:szCs w:val="24"/>
          <w:highlight w:val="none"/>
        </w:rPr>
        <w:t xml:space="preserve">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（1）供应商如为设备制造商，则须具有有效期内的《中华人民共和国特种设备生产许可证》</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许可证</w:t>
      </w:r>
      <w:r>
        <w:rPr>
          <w:rFonts w:hint="eastAsia" w:ascii="宋体" w:hAnsi="宋体" w:eastAsia="宋体" w:cs="Times New Roman"/>
          <w:color w:val="000000"/>
          <w:sz w:val="24"/>
          <w:szCs w:val="24"/>
        </w:rPr>
        <w:t xml:space="preserve">许可项目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电梯制造(含安装、修理、改造</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许可子项目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曳引驱动乘客电梯（提供证书或证明文件扫描件）；</w:t>
      </w:r>
      <w:r>
        <w:rPr>
          <w:rFonts w:hint="eastAsia" w:ascii="宋体" w:hAnsi="宋体" w:eastAsia="宋体" w:cs="Times New Roman"/>
          <w:color w:val="000000"/>
          <w:sz w:val="24"/>
          <w:szCs w:val="24"/>
        </w:rPr>
      </w:r>
      <w:r/>
    </w:p>
    <w:p>
      <w:pPr>
        <w:pStyle w:val="869"/>
        <w:ind w:firstLine="480"/>
        <w:pageBreakBefore w:val="0"/>
        <w:spacing w:line="24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（2）供应商如为设备代理商，则须具有有效期内的《中华人民共和国特种设备生产许可证》</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许可证</w:t>
      </w:r>
      <w:r>
        <w:rPr>
          <w:rFonts w:hint="eastAsia" w:ascii="宋体" w:hAnsi="宋体" w:eastAsia="宋体" w:cs="Times New Roman"/>
          <w:color w:val="000000"/>
          <w:sz w:val="24"/>
          <w:szCs w:val="24"/>
        </w:rPr>
        <w:t xml:space="preserve">许可项目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电梯安装（含修理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许可子项目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曳引驱动乘客电梯；其代理的电梯制造商应具有有效期内的《中华人民共和国特种设备生产许可证》</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许可证</w:t>
      </w:r>
      <w:r>
        <w:rPr>
          <w:rFonts w:hint="eastAsia" w:ascii="宋体" w:hAnsi="宋体" w:eastAsia="宋体" w:cs="Times New Roman"/>
          <w:color w:val="000000"/>
          <w:sz w:val="24"/>
          <w:szCs w:val="24"/>
        </w:rPr>
        <w:t xml:space="preserve">许可项目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电梯制造(含安装、修理、改造</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许可子项目</w:t>
      </w:r>
      <w:r>
        <w:rPr>
          <w:rFonts w:hint="eastAsia" w:ascii="宋体" w:hAnsi="宋体" w:eastAsia="宋体" w:cs="Times New Roman"/>
          <w:color w:val="000000"/>
          <w:sz w:val="24"/>
          <w:szCs w:val="24"/>
          <w:lang w:val="en-US" w:eastAsia="zh-CN"/>
        </w:rPr>
        <w:t xml:space="preserve">为</w:t>
      </w:r>
      <w:r>
        <w:rPr>
          <w:rFonts w:hint="eastAsia" w:ascii="宋体" w:hAnsi="宋体" w:eastAsia="宋体" w:cs="Times New Roman"/>
          <w:color w:val="000000"/>
          <w:sz w:val="24"/>
          <w:szCs w:val="24"/>
        </w:rPr>
        <w:t xml:space="preserve">曳引驱动乘客电梯（提供证书或证明文件扫描件）。</w:t>
      </w:r>
      <w:r>
        <w:rPr>
          <w:rFonts w:hint="eastAsia" w:ascii="宋体" w:hAnsi="宋体" w:eastAsia="宋体" w:cs="Times New Roman"/>
          <w:color w:val="000000"/>
          <w:sz w:val="24"/>
          <w:szCs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color w:val="000000"/>
          <w:sz w:val="24"/>
          <w:szCs w:val="24"/>
        </w:rPr>
      </w:pPr>
      <w:r/>
      <w:bookmarkStart w:id="23" w:name="_Toc35393624"/>
      <w:r/>
      <w:bookmarkStart w:id="24" w:name="_Toc38985266"/>
      <w:r/>
      <w:bookmarkStart w:id="25" w:name="_Toc28359082"/>
      <w:r/>
      <w:bookmarkStart w:id="26" w:name="_Toc28359005"/>
      <w:r/>
      <w:bookmarkStart w:id="27"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69"/>
        <w:ind w:firstLine="480"/>
        <w:pageBreakBefore w:val="0"/>
        <w:spacing w:line="240"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ind w:firstLine="480"/>
        <w:pageBreakBefore w:val="0"/>
        <w:spacing w:line="240" w:lineRule="auto"/>
        <w:widowControl w:val="off"/>
        <w:rPr>
          <w:rFonts w:hint="eastAsia" w:ascii="宋体" w:hAnsi="宋体" w:eastAsia="宋体"/>
          <w:bCs/>
          <w:color w:val="000000"/>
          <w:sz w:val="24"/>
          <w:szCs w:val="24"/>
          <w:u w:val="single"/>
          <w:lang w:val="en-US" w:eastAsia="zh-CN"/>
        </w:rPr>
      </w:pPr>
      <w:r/>
      <w:bookmarkStart w:id="28" w:name="_Toc28359084"/>
      <w:r/>
      <w:bookmarkStart w:id="29" w:name="_Toc35393625"/>
      <w:r/>
      <w:bookmarkStart w:id="30" w:name="_Toc28359007"/>
      <w:r/>
      <w:bookmarkStart w:id="31" w:name="_Toc35393794"/>
      <w:r/>
      <w:bookmarkStart w:id="32" w:name="_Toc38985267"/>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Times New Roman" w:hAnsi="Times New Roman" w:eastAsia="宋体" w:cs="Times New Roman"/>
          <w:color w:val="000000" w:themeColor="text1"/>
          <w:sz w:val="24"/>
          <w:szCs w:val="24"/>
          <w:u w:val="none"/>
          <w:lang w:val="en-US" w:eastAsia="zh-CN"/>
        </w:rPr>
        <w:t xml:space="preserve">20</w:t>
      </w:r>
      <w:r>
        <w:rPr>
          <w:rFonts w:hint="eastAsia" w:ascii="Times New Roman" w:hAnsi="Times New Roman" w:eastAsia="宋体" w:cs="Times New Roman"/>
          <w:color w:val="000000" w:themeColor="text1"/>
          <w:sz w:val="24"/>
          <w:szCs w:val="24"/>
          <w:u w:val="none"/>
          <w:lang w:val="en-US" w:eastAsia="zh-CN"/>
        </w:rPr>
        <w:t xml:space="preserve">26</w:t>
      </w:r>
      <w:r>
        <w:rPr>
          <w:rFonts w:hint="eastAsia" w:ascii="Times New Roman" w:hAnsi="Times New Roman" w:eastAsia="宋体" w:cs="Times New Roman"/>
          <w:color w:val="000000" w:themeColor="text1"/>
          <w:sz w:val="24"/>
          <w:szCs w:val="24"/>
          <w:u w:val="none"/>
          <w:lang w:val="en-US" w:eastAsia="zh-CN"/>
        </w:rPr>
        <w:t xml:space="preserve">年</w:t>
      </w:r>
      <w:r>
        <w:rPr>
          <w:rFonts w:hint="eastAsia" w:ascii="Times New Roman" w:hAnsi="Times New Roman" w:eastAsia="宋体" w:cs="Times New Roman"/>
          <w:color w:val="000000" w:themeColor="text1"/>
          <w:sz w:val="24"/>
          <w:szCs w:val="24"/>
          <w:u w:val="none"/>
          <w:lang w:val="en-US" w:eastAsia="zh-CN"/>
        </w:rPr>
        <w:t xml:space="preserve">06</w:t>
      </w:r>
      <w:r>
        <w:rPr>
          <w:rFonts w:hint="eastAsia" w:ascii="Times New Roman" w:hAnsi="Times New Roman" w:eastAsia="宋体" w:cs="Times New Roman"/>
          <w:color w:val="000000" w:themeColor="text1"/>
          <w:sz w:val="24"/>
          <w:szCs w:val="24"/>
          <w:u w:val="none"/>
          <w:lang w:val="en-US" w:eastAsia="zh-CN"/>
        </w:rPr>
        <w:t xml:space="preserve">月</w:t>
      </w:r>
      <w:r>
        <w:rPr>
          <w:rFonts w:hint="eastAsia" w:ascii="Times New Roman" w:hAnsi="Times New Roman" w:eastAsia="宋体" w:cs="Times New Roman"/>
          <w:color w:val="000000" w:themeColor="text1"/>
          <w:sz w:val="24"/>
          <w:szCs w:val="24"/>
          <w:u w:val="none"/>
          <w:lang w:val="en-US" w:eastAsia="zh-CN"/>
        </w:rPr>
        <w:t xml:space="preserve">26</w:t>
      </w:r>
      <w:r>
        <w:rPr>
          <w:rFonts w:hint="eastAsia" w:ascii="Times New Roman" w:hAnsi="Times New Roman" w:eastAsia="宋体" w:cs="Times New Roman"/>
          <w:color w:val="000000" w:themeColor="text1"/>
          <w:sz w:val="24"/>
          <w:szCs w:val="24"/>
          <w:u w:val="none"/>
          <w:lang w:val="en-US" w:eastAsia="zh-CN"/>
        </w:rPr>
        <w:t xml:space="preserve">日</w:t>
      </w:r>
      <w:r>
        <w:rPr>
          <w:rFonts w:hint="eastAsia" w:ascii="Times New Roman" w:hAnsi="Times New Roman" w:eastAsia="宋体" w:cs="Times New Roman"/>
          <w:color w:val="000000" w:themeColor="text1"/>
          <w:sz w:val="24"/>
          <w:szCs w:val="24"/>
          <w:u w:val="none"/>
          <w:lang w:val="en-US" w:eastAsia="zh-CN"/>
        </w:rPr>
        <w:t xml:space="preserve">09</w:t>
      </w:r>
      <w:r>
        <w:rPr>
          <w:rFonts w:hint="eastAsia" w:ascii="Times New Roman" w:hAnsi="Times New Roman" w:eastAsia="宋体" w:cs="Times New Roman"/>
          <w:color w:val="000000" w:themeColor="text1"/>
          <w:sz w:val="24"/>
          <w:szCs w:val="24"/>
          <w:u w:val="none"/>
          <w:lang w:val="en-US" w:eastAsia="zh-CN"/>
        </w:rPr>
        <w:t xml:space="preserve">时30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869"/>
        <w:ind w:firstLine="480"/>
        <w:pageBreakBefore w:val="0"/>
        <w:spacing w:line="240"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color w:val="000000"/>
          <w:sz w:val="24"/>
          <w:szCs w:val="24"/>
        </w:rPr>
      </w:pPr>
      <w:r/>
      <w:bookmarkStart w:id="33" w:name="_Toc38985268"/>
      <w:r/>
      <w:bookmarkStart w:id="34" w:name="_Toc35393795"/>
      <w:r/>
      <w:bookmarkStart w:id="35"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872"/>
        <w:ind w:firstLine="498"/>
        <w:pageBreakBefore w:val="0"/>
        <w:spacing w:before="145" w:after="145" w:line="24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3"/>
      <w:r/>
      <w:bookmarkEnd w:id="34"/>
      <w:r/>
      <w:bookmarkEnd w:id="35"/>
      <w:r>
        <w:rPr>
          <w:rFonts w:hint="eastAsia" w:ascii="Times New Roman" w:hAnsi="Times New Roman" w:eastAsia="宋体" w:cs="Times New Roman"/>
          <w:b/>
          <w:bCs/>
          <w:color w:val="000000"/>
        </w:rPr>
      </w:r>
      <w:r/>
    </w:p>
    <w:p>
      <w:pPr>
        <w:pStyle w:val="869"/>
        <w:ind w:firstLine="480"/>
        <w:pageBreakBefore w:val="0"/>
        <w:spacing w:line="240" w:lineRule="auto"/>
        <w:widowControl w:val="off"/>
        <w:tabs>
          <w:tab w:val="left" w:pos="900" w:leader="none"/>
        </w:tabs>
        <w:rPr>
          <w:rFonts w:hint="eastAsia" w:ascii="宋体" w:hAnsi="宋体"/>
          <w:bCs/>
          <w:color w:val="000000"/>
          <w:sz w:val="24"/>
          <w:szCs w:val="24"/>
        </w:rPr>
      </w:pPr>
      <w:r/>
      <w:bookmarkStart w:id="36" w:name="_Toc38985269"/>
      <w:r/>
      <w:bookmarkStart w:id="37" w:name="_Toc35393627"/>
      <w:r/>
      <w:bookmarkStart w:id="38" w:name="_Toc28359085"/>
      <w:r/>
      <w:bookmarkStart w:id="39" w:name="_Toc35393796"/>
      <w:r/>
      <w:bookmarkStart w:id="40" w:name="_Toc28359008"/>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ind w:firstLine="480"/>
        <w:pageBreakBefore w:val="0"/>
        <w:spacing w:line="240" w:lineRule="auto"/>
        <w:widowControl w:val="off"/>
        <w:rPr>
          <w:rFonts w:hint="eastAsia" w:ascii="宋体" w:hAnsi="宋体" w:eastAsia="宋体" w:cs="宋体"/>
          <w:color w:val="000000"/>
          <w:sz w:val="24"/>
          <w:szCs w:val="24"/>
          <w:highlight w:val="none"/>
          <w:lang w:val="en-US" w:eastAsia="zh-CN"/>
          <w14:ligatures w14: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w:t>
      </w:r>
      <w:r>
        <w:rPr>
          <w:rFonts w:hint="eastAsia" w:ascii="宋体" w:hAnsi="宋体" w:eastAsia="宋体" w:cs="宋体"/>
          <w:color w:val="000000"/>
          <w:sz w:val="24"/>
          <w:szCs w:val="24"/>
          <w:highlight w:val="none"/>
          <w:lang w:val="en-US" w:eastAsia="zh-CN"/>
        </w:rPr>
        <w:t xml:space="preserve">应商代表携带加盖单位公章的营</w:t>
      </w:r>
      <w:r>
        <w:rPr>
          <w:rFonts w:hint="eastAsia" w:ascii="宋体" w:hAnsi="宋体" w:eastAsia="宋体" w:cs="宋体"/>
          <w:color w:val="000000"/>
          <w:sz w:val="24"/>
          <w:szCs w:val="24"/>
          <w:highlight w:val="none"/>
          <w:lang w:val="en-US" w:eastAsia="zh-CN"/>
        </w:rPr>
        <w:t xml:space="preserve">业执照复印件、法定代表人授权委托书、身份证参加。签到时间：</w:t>
      </w:r>
      <w:r>
        <w:rPr>
          <w:rFonts w:hint="eastAsia" w:ascii="Times New Roman" w:hAnsi="Times New Roman" w:eastAsia="宋体" w:cs="Times New Roman"/>
          <w:color w:val="000000" w:themeColor="text1"/>
          <w:sz w:val="24"/>
          <w:szCs w:val="24"/>
          <w:u w:val="none"/>
          <w:lang w:val="en-US" w:eastAsia="zh-CN"/>
        </w:rPr>
        <w:t xml:space="preserve">2026年06月</w:t>
      </w:r>
      <w:r>
        <w:rPr>
          <w:rFonts w:hint="eastAsia" w:ascii="Times New Roman" w:hAnsi="Times New Roman" w:eastAsia="宋体" w:cs="Times New Roman"/>
          <w:color w:val="000000" w:themeColor="text1"/>
          <w:sz w:val="24"/>
          <w:szCs w:val="24"/>
          <w:u w:val="none"/>
          <w:lang w:val="en-US" w:eastAsia="zh-CN"/>
        </w:rPr>
        <w:t xml:space="preserve">12日09时30</w:t>
      </w:r>
      <w:r>
        <w:rPr>
          <w:rFonts w:hint="eastAsia" w:ascii="Times New Roman" w:hAnsi="Times New Roman" w:eastAsia="宋体" w:cs="Times New Roman"/>
          <w:color w:val="000000" w:themeColor="text1"/>
          <w:sz w:val="24"/>
          <w:szCs w:val="24"/>
          <w:u w:val="none"/>
          <w:lang w:val="en-US" w:eastAsia="zh-CN"/>
        </w:rPr>
        <w:t xml:space="preserve">分至</w:t>
      </w:r>
      <w:r>
        <w:rPr>
          <w:rFonts w:hint="eastAsia" w:ascii="Times New Roman" w:hAnsi="Times New Roman" w:eastAsia="宋体" w:cs="Times New Roman"/>
          <w:color w:val="000000" w:themeColor="text1"/>
          <w:sz w:val="24"/>
          <w:szCs w:val="24"/>
          <w:u w:val="none"/>
          <w:lang w:val="en-US" w:eastAsia="zh-CN"/>
        </w:rPr>
        <w:t xml:space="preserve">09时40</w:t>
      </w:r>
      <w:r>
        <w:rPr>
          <w:rFonts w:hint="eastAsia" w:ascii="Times New Roman" w:hAnsi="Times New Roman" w:eastAsia="宋体" w:cs="Times New Roman"/>
          <w:color w:val="000000" w:themeColor="text1"/>
          <w:sz w:val="24"/>
          <w:szCs w:val="24"/>
          <w:u w:val="none"/>
          <w:lang w:val="en-US" w:eastAsia="zh-CN"/>
        </w:rPr>
        <w:t xml:space="preserve">分</w:t>
      </w:r>
      <w:r>
        <w:rPr>
          <w:rFonts w:hint="eastAsia" w:ascii="宋体" w:hAnsi="宋体" w:eastAsia="宋体" w:cs="宋体"/>
          <w:color w:val="000000"/>
          <w:sz w:val="24"/>
          <w:szCs w:val="24"/>
          <w:highlight w:val="none"/>
          <w:lang w:val="en-US" w:eastAsia="zh-CN"/>
        </w:rPr>
        <w:t xml:space="preserve">，地址：南京市秦淮区许家巷44号，联系人：王刚，联系电话：15380</w:t>
      </w:r>
      <w:r>
        <w:rPr>
          <w:rFonts w:hint="eastAsia" w:ascii="宋体" w:hAnsi="宋体" w:eastAsia="宋体" w:cs="宋体"/>
          <w:color w:val="000000"/>
          <w:sz w:val="24"/>
          <w:szCs w:val="24"/>
          <w:highlight w:val="none"/>
          <w:lang w:val="en-US" w:eastAsia="zh-CN"/>
        </w:rPr>
        <w:t xml:space="preserve">881264。</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pageBreakBefore w:val="0"/>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pageBreakBefore w:val="0"/>
        <w:spacing w:line="240" w:lineRule="auto"/>
        <w:rPr>
          <w:rFonts w:ascii="宋体" w:hAnsi="宋体" w:eastAsia="宋体" w:cs="Times New Roman"/>
          <w:color w:val="000000"/>
          <w:sz w:val="24"/>
          <w:szCs w:val="24"/>
          <w:u w:val="none"/>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4"/>
          <w:lang w:val="en-US" w:eastAsia="zh-CN"/>
        </w:rPr>
        <w:t xml:space="preserve">夏先生</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Times New Roman"/>
          <w:color w:val="000000"/>
          <w:sz w:val="24"/>
          <w:szCs w:val="24"/>
          <w:u w:val="none"/>
          <w:lang w:val="en-US" w:eastAsia="zh-CN"/>
        </w:rPr>
        <w:t xml:space="preserve">南京市秦淮区大明路157号，联系电话：025-86363663。</w:t>
      </w:r>
      <w:r>
        <w:rPr>
          <w:rFonts w:ascii="宋体" w:hAnsi="宋体" w:eastAsia="宋体" w:cs="Times New Roman"/>
          <w:color w:val="000000"/>
          <w:sz w:val="24"/>
          <w:szCs w:val="24"/>
          <w:u w:val="none"/>
          <w:lang w:val="en-US" w:eastAsia="zh-CN"/>
        </w:rPr>
      </w:r>
      <w:r/>
    </w:p>
    <w:p>
      <w:pPr>
        <w:pStyle w:val="869"/>
        <w:ind w:firstLine="480"/>
        <w:keepLines w:val="0"/>
        <w:keepNext w:val="0"/>
        <w:pageBreakBefore w:val="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称：南京市中医院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址：南京市秦淮区大明路157号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联系人：夏先生</w:t>
      </w:r>
      <w:r>
        <w:rPr>
          <w:rFonts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1" w:name="_Toc28359009"/>
      <w:r/>
      <w:bookmarkStart w:id="42" w:name="_Toc28359086"/>
      <w:r>
        <w:rPr>
          <w:rFonts w:hint="eastAsia" w:ascii="宋体" w:hAnsi="宋体" w:eastAsia="宋体" w:cs="Times New Roman"/>
          <w:color w:val="000000"/>
          <w:sz w:val="24"/>
          <w:szCs w:val="24"/>
          <w:u w:val="none"/>
          <w:lang w:val="en-US" w:eastAsia="zh-CN"/>
        </w:rPr>
        <w:t xml:space="preserve">025-86363663</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1"/>
      <w:r/>
      <w:bookmarkEnd w:id="42"/>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联系人：陈先生</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联系电话：025-68505915</w:t>
      </w:r>
      <w:r>
        <w:rPr>
          <w:rFonts w:hint="eastAsia" w:ascii="宋体" w:hAnsi="宋体" w:eastAsia="宋体" w:cs="Times New Roman"/>
          <w:color w:val="000000"/>
          <w:sz w:val="24"/>
          <w:szCs w:val="24"/>
          <w:u w:val="none"/>
          <w:lang w:val="en-US" w:eastAsia="zh-CN"/>
        </w:rPr>
      </w:r>
      <w:r/>
    </w:p>
    <w:p>
      <w:pPr>
        <w:pStyle w:val="869"/>
        <w:ind w:right="0" w:firstLine="480"/>
        <w:jc w:val="center"/>
        <w:spacing w:line="240" w:lineRule="auto"/>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3" w:name="_Toc120614211"/>
      <w:r>
        <w:rPr>
          <w:rFonts w:hint="eastAsia" w:ascii="方正小标宋简体" w:hAnsi="方正小标宋简体" w:eastAsia="方正小标宋简体" w:cs="方正小标宋简体"/>
          <w:color w:val="000000"/>
          <w:sz w:val="36"/>
          <w:szCs w:val="36"/>
        </w:rPr>
        <w:t xml:space="preserve">第二章  </w:t>
      </w:r>
      <w:bookmarkEnd w:id="43"/>
      <w:r/>
      <w:bookmarkStart w:id="44" w:name="_Toc120614213"/>
      <w:r/>
      <w:bookmarkStart w:id="45" w:name="_Toc513029202"/>
      <w:r/>
      <w:bookmarkStart w:id="46" w:name="_Toc16938518"/>
      <w:r/>
      <w:bookmarkStart w:id="47" w:name="_Toc20823274"/>
      <w:r>
        <w:rPr>
          <w:rFonts w:hint="eastAsia" w:ascii="方正小标宋简体" w:hAnsi="方正小标宋简体" w:eastAsia="方正小标宋简体" w:cs="方正小标宋简体"/>
          <w:color w:val="000000"/>
          <w:sz w:val="36"/>
          <w:szCs w:val="36"/>
        </w:rPr>
        <w:t xml:space="preserve">投标人须知</w:t>
      </w:r>
      <w:bookmarkEnd w:id="44"/>
      <w:r/>
      <w:bookmarkEnd w:id="45"/>
      <w:r/>
      <w:bookmarkEnd w:id="46"/>
      <w:r/>
      <w:bookmarkEnd w:id="47"/>
      <w:r>
        <w:rPr>
          <w:rFonts w:hint="eastAsia" w:ascii="方正小标宋简体" w:hAnsi="方正小标宋简体" w:eastAsia="方正小标宋简体" w:cs="方正小标宋简体"/>
          <w:color w:val="000000"/>
          <w:sz w:val="36"/>
          <w:szCs w:val="36"/>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8" w:name="_Toc513029203"/>
      <w:r/>
      <w:bookmarkStart w:id="49" w:name="_Toc20823275"/>
      <w:r/>
      <w:bookmarkStart w:id="50" w:name="_Toc16938519"/>
      <w:r/>
      <w:bookmarkStart w:id="51" w:name="_Toc120614214"/>
      <w:r/>
      <w:bookmarkStart w:id="52" w:name="_Toc20823314"/>
      <w:r/>
      <w:bookmarkStart w:id="53" w:name="_Toc479757207"/>
      <w:r/>
      <w:bookmarkStart w:id="54" w:name="_Toc513029242"/>
      <w:r/>
      <w:bookmarkStart w:id="55" w:name="_Toc120614221"/>
      <w:r/>
      <w:bookmarkStart w:id="56" w:name="_Toc16938558"/>
      <w:r>
        <w:rPr>
          <w:rFonts w:hint="eastAsia" w:ascii="方正黑体_GBK" w:hAnsi="方正黑体_GBK" w:eastAsia="方正黑体_GBK" w:cs="方正黑体_GBK"/>
          <w:b w:val="0"/>
          <w:bCs w:val="0"/>
          <w:color w:val="000000"/>
          <w:sz w:val="30"/>
          <w:szCs w:val="30"/>
        </w:rPr>
        <w:t xml:space="preserve">一、总则</w:t>
      </w:r>
      <w:bookmarkEnd w:id="48"/>
      <w:r/>
      <w:bookmarkEnd w:id="49"/>
      <w:r/>
      <w:bookmarkEnd w:id="50"/>
      <w:r/>
      <w:bookmarkEnd w:id="5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方正楷体_GBK" w:hAnsi="方正楷体_GBK" w:eastAsia="方正楷体_GBK" w:cs="方正楷体_GBK"/>
          <w:b/>
          <w:bCs/>
        </w:rPr>
        <w:t xml:space="preserve">1</w:t>
      </w:r>
      <w:bookmarkEnd w:id="58"/>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9"/>
      <w:r/>
      <w:bookmarkEnd w:id="60"/>
      <w:r/>
      <w:bookmarkEnd w:id="6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2" w:name="_Toc20823277"/>
      <w:r/>
      <w:bookmarkStart w:id="63" w:name="_Toc513029205"/>
      <w:r/>
      <w:bookmarkStart w:id="64"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2"/>
      <w:r/>
      <w:bookmarkEnd w:id="63"/>
      <w:r/>
      <w:bookmarkEnd w:id="6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5" w:name="_Toc20823278"/>
      <w:r/>
      <w:bookmarkStart w:id="66" w:name="_Toc16938522"/>
      <w:r/>
      <w:bookmarkStart w:id="67"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5"/>
      <w:r/>
      <w:bookmarkEnd w:id="66"/>
      <w:r/>
      <w:bookmarkEnd w:id="67"/>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68" w:name="_Toc513029207"/>
      <w:r/>
      <w:bookmarkStart w:id="69" w:name="_Toc16938523"/>
      <w:r/>
      <w:bookmarkStart w:id="70" w:name="_Toc20823279"/>
      <w:r/>
      <w:bookmarkStart w:id="71" w:name="_Toc46256406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8"/>
      <w:r/>
      <w:bookmarkEnd w:id="69"/>
      <w:r/>
      <w:bookmarkEnd w:id="70"/>
      <w:r/>
      <w:bookmarkEnd w:id="71"/>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Toc120614215"/>
      <w:r/>
      <w:bookmarkStart w:id="73" w:name="_Toc513029209"/>
      <w:r/>
      <w:bookmarkStart w:id="74" w:name="_Toc16938525"/>
      <w:r/>
      <w:bookmarkStart w:id="75" w:name="_Toc20823281"/>
      <w:r>
        <w:rPr>
          <w:rFonts w:hint="eastAsia" w:ascii="方正黑体_GBK" w:hAnsi="方正黑体_GBK" w:eastAsia="方正黑体_GBK" w:cs="方正黑体_GBK"/>
          <w:b w:val="0"/>
          <w:bCs w:val="0"/>
          <w:color w:val="000000"/>
          <w:sz w:val="30"/>
          <w:szCs w:val="30"/>
        </w:rPr>
        <w:t xml:space="preserve">二、招标文件</w:t>
      </w:r>
      <w:bookmarkEnd w:id="72"/>
      <w:r/>
      <w:bookmarkEnd w:id="73"/>
      <w:r/>
      <w:bookmarkEnd w:id="74"/>
      <w:r/>
      <w:bookmarkEnd w:id="75"/>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6" w:name="_Toc513029210"/>
      <w:r/>
      <w:bookmarkStart w:id="77" w:name="_Toc16938526"/>
      <w:r/>
      <w:bookmarkStart w:id="78"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6"/>
      <w:r/>
      <w:bookmarkEnd w:id="77"/>
      <w:r/>
      <w:bookmarkEnd w:id="78"/>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79" w:name="_Toc20823283"/>
      <w:r/>
      <w:bookmarkStart w:id="80" w:name="_Toc16938527"/>
      <w:r/>
      <w:bookmarkStart w:id="81" w:name="_Toc513029211"/>
      <w:r/>
      <w:bookmarkStart w:id="82"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9"/>
      <w:r/>
      <w:bookmarkEnd w:id="80"/>
      <w:r/>
      <w:bookmarkEnd w:id="81"/>
      <w:r/>
      <w:bookmarkEnd w:id="82"/>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83" w:name="_Toc16938528"/>
      <w:r/>
      <w:bookmarkStart w:id="84" w:name="_Toc20823284"/>
      <w:r/>
      <w:bookmarkStart w:id="85" w:name="_Toc513029212"/>
      <w:r/>
      <w:bookmarkStart w:id="86"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3"/>
      <w:r/>
      <w:bookmarkEnd w:id="84"/>
      <w:r/>
      <w:bookmarkEnd w:id="85"/>
      <w:r/>
      <w:bookmarkEnd w:id="8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87" w:name="_Toc20823285"/>
      <w:r/>
      <w:bookmarkStart w:id="88" w:name="_Toc513029213"/>
      <w:r/>
      <w:bookmarkStart w:id="89" w:name="_Toc462564072"/>
      <w:r/>
      <w:bookmarkStart w:id="90" w:name="_Toc16938529"/>
      <w:r/>
      <w:bookmarkStart w:id="91"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rPr>
          <w:rFonts w:hint="eastAsia" w:ascii="宋体" w:hAnsi="宋体" w:eastAsia="宋体" w:cs="Times New Roman"/>
          <w:color w:val="000000"/>
          <w:sz w:val="24"/>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2" w:name="_Toc16938530"/>
      <w:r/>
      <w:bookmarkStart w:id="93" w:name="_Toc462564073"/>
      <w:r/>
      <w:bookmarkStart w:id="94" w:name="_Toc20823286"/>
      <w:r/>
      <w:bookmarkStart w:id="95"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2"/>
      <w:r/>
      <w:bookmarkEnd w:id="93"/>
      <w:r/>
      <w:bookmarkEnd w:id="94"/>
      <w:r/>
      <w:bookmarkEnd w:id="95"/>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96" w:name="_Toc513029215"/>
      <w:r/>
      <w:bookmarkStart w:id="97" w:name="_Toc462564074"/>
      <w:r/>
      <w:bookmarkStart w:id="98" w:name="_Toc16938531"/>
      <w:r/>
      <w:bookmarkStart w:id="99"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6"/>
      <w:r/>
      <w:bookmarkEnd w:id="97"/>
      <w:r/>
      <w:bookmarkEnd w:id="98"/>
      <w:r/>
      <w:bookmarkEnd w:id="9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00" w:name="_Hlt26670360"/>
      <w:r/>
      <w:bookmarkEnd w:id="100"/>
      <w:r/>
      <w:bookmarkStart w:id="101" w:name="_Hlt26668975"/>
      <w:r/>
      <w:bookmarkEnd w:id="101"/>
      <w:r/>
      <w:bookmarkStart w:id="102" w:name="_Toc513029219"/>
      <w:r/>
      <w:bookmarkStart w:id="103" w:name="_Toc49090509"/>
      <w:r/>
      <w:bookmarkStart w:id="104" w:name="_Toc14577357"/>
      <w:r/>
      <w:bookmarkStart w:id="105" w:name="_Toc14577354"/>
      <w:r/>
      <w:bookmarkStart w:id="106" w:name="_Toc513029216"/>
      <w:r/>
      <w:bookmarkStart w:id="107" w:name="_Toc49090507"/>
      <w:r/>
      <w:bookmarkStart w:id="108" w:name="_Hlt26954838"/>
      <w:r/>
      <w:bookmarkEnd w:id="108"/>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05"/>
      <w:r/>
      <w:bookmarkEnd w:id="106"/>
      <w:r/>
      <w:bookmarkEnd w:id="107"/>
      <w:r/>
      <w:bookmarkStart w:id="109" w:name="_Toc49090508"/>
      <w:r/>
      <w:bookmarkStart w:id="110" w:name="_Toc14577355"/>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10"/>
      <w:r/>
      <w:bookmarkStart w:id="111" w:name="_Hlt26670373"/>
      <w:r/>
      <w:bookmarkEnd w:id="111"/>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2" w:name="_Hlt26954840"/>
      <w:r/>
      <w:bookmarkEnd w:id="112"/>
      <w:r>
        <w:rPr>
          <w:rFonts w:hint="eastAsia" w:ascii="宋体" w:hAnsi="宋体" w:eastAsia="宋体" w:cs="Times New Roman"/>
          <w:color w:val="000000"/>
          <w:sz w:val="24"/>
        </w:rPr>
        <w:t xml:space="preserve">标人应按照招标文件规定格式填报投标分项报价表</w:t>
      </w:r>
      <w:bookmarkStart w:id="113" w:name="_Hlt26670399"/>
      <w:r/>
      <w:bookmarkEnd w:id="113"/>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rPr>
          <w:rFonts w:hint="eastAsia" w:ascii="宋体" w:hAnsi="宋体" w:eastAsia="宋体" w:cs="Times New Roman"/>
          <w:color w:val="000000"/>
          <w:sz w:val="24"/>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14" w:name="_Hlt26670482"/>
      <w:r/>
      <w:bookmarkEnd w:id="114"/>
      <w:r/>
      <w:bookmarkStart w:id="115" w:name="_Hlt26954846"/>
      <w:r/>
      <w:bookmarkEnd w:id="115"/>
      <w:r/>
      <w:bookmarkStart w:id="116" w:name="_Hlt26954844"/>
      <w:r/>
      <w:bookmarkEnd w:id="116"/>
      <w:r/>
      <w:bookmarkStart w:id="117" w:name="_Hlt26668983"/>
      <w:r/>
      <w:bookmarkEnd w:id="117"/>
      <w:r/>
      <w:bookmarkStart w:id="118" w:name="_Hlt26670486"/>
      <w:r/>
      <w:bookmarkEnd w:id="118"/>
      <w:r/>
      <w:bookmarkStart w:id="119" w:name="_Hlt26954848"/>
      <w:r/>
      <w:bookmarkEnd w:id="119"/>
      <w:r/>
      <w:bookmarkStart w:id="120" w:name="_Hlt26670425"/>
      <w:r/>
      <w:bookmarkEnd w:id="120"/>
      <w:r/>
      <w:bookmarkStart w:id="121" w:name="_Hlt26670403"/>
      <w:r/>
      <w:bookmarkEnd w:id="121"/>
      <w:r/>
      <w:bookmarkStart w:id="122" w:name="_Hlt26954731"/>
      <w:r/>
      <w:bookmarkEnd w:id="122"/>
      <w:r/>
      <w:bookmarkStart w:id="123" w:name="_Hlt26954842"/>
      <w:r/>
      <w:bookmarkEnd w:id="123"/>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24" w:name="_Toc49090510"/>
      <w:r/>
      <w:bookmarkStart w:id="125"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69"/>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24"/>
      <w:r/>
      <w:bookmarkEnd w:id="125"/>
      <w:r/>
      <w:bookmarkStart w:id="126" w:name="_Hlt26670489"/>
      <w:r/>
      <w:bookmarkEnd w:id="126"/>
      <w:r/>
      <w:bookmarkStart w:id="127" w:name="_Hlt26954850"/>
      <w:r/>
      <w:bookmarkEnd w:id="127"/>
      <w:r/>
      <w:bookmarkStart w:id="128" w:name="_Hlt26954734"/>
      <w:r/>
      <w:bookmarkEnd w:id="128"/>
      <w:r/>
      <w:bookmarkStart w:id="129" w:name="_Toc14577360"/>
      <w:r/>
      <w:bookmarkStart w:id="130"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9"/>
      <w:r/>
      <w:bookmarkEnd w:id="130"/>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1" w:name="_Hlt26954739"/>
      <w:r/>
      <w:bookmarkEnd w:id="131"/>
      <w:r/>
      <w:bookmarkStart w:id="132" w:name="_Hlt26954852"/>
      <w:r/>
      <w:bookmarkEnd w:id="132"/>
      <w:r/>
      <w:bookmarkStart w:id="133" w:name="_Toc513029224"/>
      <w:r/>
      <w:bookmarkStart w:id="134" w:name="_Toc20823296"/>
      <w:r/>
      <w:bookmarkStart w:id="135" w:name="_Toc120614217"/>
      <w:r/>
      <w:bookmarkStart w:id="136" w:name="_Toc16938540"/>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5"/>
      <w:r/>
      <w:bookmarkEnd w:id="136"/>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37" w:name="_Toc16938541"/>
      <w:r/>
      <w:bookmarkStart w:id="138" w:name="_Toc20823297"/>
      <w:r/>
      <w:bookmarkStart w:id="139" w:name="_Toc462564084"/>
      <w:r/>
      <w:bookmarkStart w:id="140"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7"/>
      <w:r/>
      <w:bookmarkEnd w:id="138"/>
      <w:r/>
      <w:bookmarkEnd w:id="139"/>
      <w:r/>
      <w:bookmarkEnd w:id="140"/>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1" w:name="_Toc16938542"/>
      <w:r/>
      <w:bookmarkStart w:id="142" w:name="_Toc20823298"/>
      <w:r/>
      <w:bookmarkStart w:id="143" w:name="_Toc513029226"/>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1"/>
      <w:r/>
      <w:bookmarkEnd w:id="142"/>
      <w:r/>
      <w:bookmarkEnd w:id="143"/>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4" w:name="_Toc16938543"/>
      <w:r/>
      <w:bookmarkStart w:id="145" w:name="_Toc513029227"/>
      <w:r/>
      <w:bookmarkStart w:id="146"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47" w:name="_Toc20823300"/>
      <w:r/>
      <w:bookmarkStart w:id="148" w:name="_Toc513029228"/>
      <w:r/>
      <w:bookmarkStart w:id="149" w:name="_Toc16938544"/>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7"/>
      <w:r/>
      <w:bookmarkEnd w:id="148"/>
      <w:r/>
      <w:bookmarkEnd w:id="14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0" w:name="_Toc513029229"/>
      <w:r/>
      <w:bookmarkStart w:id="151" w:name="_Toc120614218"/>
      <w:r/>
      <w:bookmarkStart w:id="152" w:name="_Toc20823301"/>
      <w:r/>
      <w:bookmarkStart w:id="153" w:name="_Toc16938545"/>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0"/>
      <w:r/>
      <w:bookmarkEnd w:id="151"/>
      <w:r/>
      <w:bookmarkEnd w:id="152"/>
      <w:r/>
      <w:bookmarkEnd w:id="153"/>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4" w:name="_Toc513029230"/>
      <w:r/>
      <w:bookmarkStart w:id="155" w:name="_Toc16938546"/>
      <w:r/>
      <w:bookmarkStart w:id="156"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4"/>
      <w:r/>
      <w:bookmarkEnd w:id="155"/>
      <w:r/>
      <w:bookmarkEnd w:id="15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57" w:name="_Toc513029231"/>
      <w:r/>
      <w:bookmarkStart w:id="158" w:name="_Toc16938547"/>
      <w:r/>
      <w:bookmarkStart w:id="159"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7"/>
      <w:r/>
      <w:bookmarkEnd w:id="158"/>
      <w:r/>
      <w:bookmarkEnd w:id="15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60" w:name="_Toc16938548"/>
      <w:r/>
      <w:bookmarkStart w:id="161" w:name="_Toc513029232"/>
      <w:r/>
      <w:bookmarkStart w:id="162"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0"/>
      <w:r/>
      <w:bookmarkEnd w:id="161"/>
      <w:r/>
      <w:bookmarkEnd w:id="162"/>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3" w:name="_Toc16938549"/>
      <w:r/>
      <w:bookmarkStart w:id="164" w:name="_Toc20823305"/>
      <w:r/>
      <w:bookmarkStart w:id="165"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3"/>
      <w:r/>
      <w:bookmarkEnd w:id="164"/>
      <w:r/>
      <w:bookmarkEnd w:id="165"/>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6" w:name="_Toc16938550"/>
      <w:r/>
      <w:bookmarkStart w:id="167" w:name="_Toc513029234"/>
      <w:r/>
      <w:bookmarkStart w:id="168"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9" w:name="OLE_LINK2"/>
      <w:r>
        <w:rPr>
          <w:rFonts w:hint="eastAsia" w:ascii="宋体" w:hAnsi="宋体" w:eastAsia="宋体" w:cs="Times New Roman"/>
          <w:color w:val="000000"/>
          <w:sz w:val="24"/>
          <w:szCs w:val="22"/>
          <w:lang w:val="zh-CN" w:eastAsia="zh-CN"/>
        </w:rPr>
        <w:t xml:space="preserve">供应商已随投标文件一并提交相关书面说明及必要的证明材料的，在评标现场可不再重复提交</w:t>
      </w:r>
      <w:bookmarkEnd w:id="169"/>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6"/>
      <w:r/>
      <w:bookmarkEnd w:id="167"/>
      <w:r/>
      <w:bookmarkEnd w:id="168"/>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Start w:id="170" w:name="_Toc16938551"/>
      <w:r/>
      <w:bookmarkStart w:id="171" w:name="_Toc20823307"/>
      <w:r/>
      <w:bookmarkStart w:id="172" w:name="_Toc120614219"/>
      <w:r/>
      <w:bookmarkStart w:id="173"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w:t>
      </w:r>
      <w:r>
        <w:rPr>
          <w:rFonts w:hint="eastAsia" w:ascii="宋体" w:hAnsi="宋体" w:eastAsia="宋体" w:cs="Times New Roman"/>
          <w:color w:val="000000"/>
          <w:sz w:val="24"/>
          <w:lang w:val="en-US" w:eastAsia="zh-CN"/>
        </w:rPr>
        <w:t xml:space="preserve">违法</w:t>
      </w:r>
      <w:r>
        <w:rPr>
          <w:rFonts w:hint="eastAsia" w:ascii="宋体" w:hAnsi="宋体" w:eastAsia="宋体" w:cs="Times New Roman"/>
          <w:color w:val="000000"/>
          <w:sz w:val="24"/>
          <w:lang w:val="zh-CN"/>
        </w:rPr>
        <w:t xml:space="preserve">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w:t>
      </w:r>
      <w:r>
        <w:rPr>
          <w:rFonts w:hint="eastAsia" w:ascii="宋体" w:hAnsi="宋体" w:eastAsia="宋体" w:cs="Times New Roman"/>
          <w:color w:val="000000"/>
          <w:sz w:val="24"/>
          <w:lang w:val="zh-CN"/>
        </w:rPr>
        <w:t xml:space="preserve">标文件含有采购人不能接受的附加条件。</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color w:val="000000"/>
          <w:sz w:val="24"/>
          <w:szCs w:val="22"/>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zh-CN"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zh-CN"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szCs w:val="22"/>
          <w:lang w:val="en-US" w:eastAsia="zh-CN" w:bidi="ar"/>
        </w:rPr>
        <w:t xml:space="preserve">对</w:t>
      </w:r>
      <w:r>
        <w:rPr>
          <w:rFonts w:hint="eastAsia" w:ascii="宋体" w:hAnsi="宋体" w:eastAsia="宋体" w:cs="Times New Roman"/>
          <w:b/>
          <w:bCs/>
          <w:color w:val="000000"/>
          <w:sz w:val="24"/>
          <w:szCs w:val="22"/>
          <w:lang w:val="zh-CN" w:eastAsia="zh-CN" w:bidi="ar"/>
        </w:rPr>
        <w:t xml:space="preserve">招标文件是否存在不合理条款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0"/>
      <w:r/>
      <w:bookmarkEnd w:id="171"/>
      <w:r/>
      <w:bookmarkEnd w:id="173"/>
      <w:r>
        <w:rPr>
          <w:rFonts w:hint="eastAsia" w:ascii="方正黑体_GBK" w:hAnsi="方正黑体_GBK" w:eastAsia="方正黑体_GBK" w:cs="方正黑体_GBK"/>
          <w:b w:val="0"/>
          <w:bCs w:val="0"/>
          <w:color w:val="000000"/>
          <w:sz w:val="30"/>
          <w:szCs w:val="30"/>
        </w:rPr>
        <w:t xml:space="preserve">定标</w:t>
      </w:r>
      <w:bookmarkEnd w:id="172"/>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Start w:id="174" w:name="_Toc513029238"/>
      <w:r/>
      <w:bookmarkStart w:id="175" w:name="_Toc20823310"/>
      <w:r/>
      <w:bookmarkStart w:id="176" w:name="_Toc16938554"/>
      <w:r>
        <w:rPr>
          <w:rFonts w:hint="eastAsia" w:ascii="方正楷体_GBK" w:hAnsi="方正楷体_GBK" w:eastAsia="方正楷体_GBK" w:cs="方正楷体_GBK"/>
          <w:b/>
          <w:bCs/>
        </w:rPr>
        <w:t xml:space="preserve">2</w:t>
      </w:r>
      <w:bookmarkEnd w:id="174"/>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5"/>
      <w:r/>
      <w:bookmarkEnd w:id="176"/>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7"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8" w:name="_Toc120614220"/>
      <w:r/>
      <w:bookmarkStart w:id="179" w:name="_Toc16938552"/>
      <w:r/>
      <w:bookmarkStart w:id="180" w:name="_Toc513029236"/>
      <w:r/>
      <w:bookmarkStart w:id="181" w:name="_Toc20823308"/>
      <w:r>
        <w:rPr>
          <w:rFonts w:hint="eastAsia" w:ascii="方正黑体_GBK" w:hAnsi="方正黑体_GBK" w:eastAsia="方正黑体_GBK" w:cs="方正黑体_GBK"/>
          <w:b w:val="0"/>
          <w:bCs w:val="0"/>
          <w:color w:val="000000"/>
          <w:sz w:val="30"/>
          <w:szCs w:val="30"/>
        </w:rPr>
        <w:t xml:space="preserve">七、授予合同</w:t>
      </w:r>
      <w:bookmarkEnd w:id="178"/>
      <w:r>
        <w:rPr>
          <w:rFonts w:hint="eastAsia" w:ascii="方正黑体_GBK" w:hAnsi="方正黑体_GBK" w:eastAsia="方正黑体_GBK" w:cs="方正黑体_GBK"/>
          <w:b w:val="0"/>
          <w:bCs w:val="0"/>
          <w:color w:val="000000"/>
          <w:sz w:val="30"/>
          <w:szCs w:val="30"/>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79"/>
      <w:r/>
      <w:bookmarkEnd w:id="180"/>
      <w:r/>
      <w:bookmarkEnd w:id="181"/>
      <w:r/>
      <w:bookmarkStart w:id="182" w:name="_Toc513029237"/>
      <w:r/>
      <w:bookmarkStart w:id="183" w:name="_Toc20823309"/>
      <w:r/>
      <w:bookmarkStart w:id="184"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widowControl w:val="off"/>
        <w:rPr>
          <w:rFonts w:hint="eastAsia" w:ascii="方正楷体_GBK" w:hAnsi="方正楷体_GBK" w:eastAsia="方正楷体_GBK" w:cs="方正楷体_GBK"/>
          <w:b/>
          <w:bCs/>
        </w:rPr>
      </w:pPr>
      <w:r/>
      <w:bookmarkEnd w:id="182"/>
      <w:r/>
      <w:bookmarkEnd w:id="183"/>
      <w:r/>
      <w:bookmarkEnd w:id="184"/>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t xml:space="preserve">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000000"/>
          <w:sz w:val="24"/>
          <w:szCs w:val="22"/>
          <w:lang w:val="en-US" w:eastAsia="zh-CN"/>
        </w:rPr>
        <w:t xml:space="preserve">《质疑答复函》抄送交易中心。</w:t>
      </w:r>
      <w:r>
        <w:rPr>
          <w:rFonts w:hint="eastAsia" w:ascii="宋体" w:hAnsi="宋体" w:eastAsia="宋体" w:cs="Times New Roman"/>
          <w:b/>
          <w:bCs/>
          <w:color w:val="0000ff"/>
          <w:sz w:val="24"/>
          <w:szCs w:val="22"/>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3"/>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3"/>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3"/>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4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48"/>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69"/>
        <w:ind w:firstLine="480"/>
        <w:keepLines w:val="0"/>
        <w:keepNext w:val="0"/>
        <w:pageBreakBefore w:val="0"/>
        <w:spacing w:line="264" w:lineRule="auto"/>
        <w:widowControl w:val="off"/>
        <w:rPr>
          <w:rFonts w:hint="eastAsia" w:ascii="宋体" w:hAnsi="宋体"/>
          <w:bCs/>
          <w:color w:val="000000"/>
          <w:sz w:val="24"/>
          <w:szCs w:val="21"/>
        </w:rPr>
      </w:pPr>
      <w:r/>
      <w:bookmarkStart w:id="185" w:name="_Toc513029243"/>
      <w:r/>
      <w:bookmarkStart w:id="186" w:name="_Toc20823315"/>
      <w:r/>
      <w:bookmarkStart w:id="187" w:name="_Toc16938559"/>
      <w:r/>
      <w:bookmarkStart w:id="188" w:name="_Hlt16619350"/>
      <w:r/>
      <w:bookmarkStart w:id="189" w:name="_Toc120614244"/>
      <w:r/>
      <w:bookmarkStart w:id="190" w:name="_Toc16938590"/>
      <w:r/>
      <w:bookmarkStart w:id="191" w:name="_Toc20823346"/>
      <w:r/>
      <w:bookmarkStart w:id="192" w:name="_Toc479757211"/>
      <w:r/>
      <w:bookmarkStart w:id="193"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69"/>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69"/>
        <w:spacing w:line="240" w:lineRule="auto"/>
        <w:rPr>
          <w:rFonts w:hint="eastAsia"/>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ascii="宋体" w:hAnsi="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6.1 本项目乙方无需缴纳</w:t>
      </w:r>
      <w:r>
        <w:rPr>
          <w:rFonts w:hint="eastAsia" w:ascii="宋体" w:hAnsi="宋体" w:eastAsia="宋体" w:cs="Courier New"/>
          <w:color w:val="000000"/>
          <w:sz w:val="24"/>
          <w:szCs w:val="24"/>
        </w:rPr>
        <w:t xml:space="preserve">履约保证金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lang w:val="en-US" w:eastAsia="zh-CN"/>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0"/>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w:t>
      </w:r>
      <w:r>
        <w:rPr>
          <w:rFonts w:hint="eastAsia" w:ascii="宋体" w:hAnsi="宋体" w:eastAsia="宋体" w:cs="Courier New"/>
          <w:color w:val="000000"/>
          <w:sz w:val="24"/>
          <w:szCs w:val="24"/>
          <w:lang w:val="en-US" w:eastAsia="zh-CN"/>
        </w:rPr>
        <w:t xml:space="preserve">身</w:t>
      </w:r>
      <w:r>
        <w:rPr>
          <w:rFonts w:hint="eastAsia" w:ascii="宋体" w:hAnsi="宋体" w:eastAsia="宋体" w:cs="Courier New"/>
          <w:color w:val="000000"/>
          <w:sz w:val="24"/>
          <w:szCs w:val="24"/>
        </w:rPr>
        <w:t xml:space="preserve">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 百分之三十</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万分之五 </w:t>
      </w:r>
      <w:r>
        <w:rPr>
          <w:rFonts w:hint="eastAsia" w:ascii="宋体" w:hAnsi="宋体" w:eastAsia="宋体" w:cs="Courier New"/>
          <w:color w:val="000000"/>
          <w:sz w:val="24"/>
          <w:szCs w:val="24"/>
        </w:rPr>
        <w:t xml:space="preserve">向甲方支付违约金，由甲方从待付货款中扣除。超过约定日期10个工作日不能交货的，甲方可解除本合同。乙方因逾期交货或因其他违约行为导致甲方解除合同的，应向甲方支付合同总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百分之五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bookmarkEnd w:id="185"/>
      <w:r/>
      <w:bookmarkEnd w:id="186"/>
      <w:r/>
      <w:bookmarkEnd w:id="187"/>
      <w:r/>
      <w:bookmarkStart w:id="194" w:name="_Hlt16619369"/>
      <w:r/>
      <w:bookmarkEnd w:id="194"/>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0"/>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0"/>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69"/>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8"/>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9"/>
      <w:r/>
      <w:bookmarkEnd w:id="190"/>
      <w:r/>
      <w:bookmarkEnd w:id="191"/>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5" w:name="_Toc26554093"/>
      <w:r/>
      <w:bookmarkStart w:id="196"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南京市中医院夫子庙院区门诊楼电梯更换项目，包含1台旧电梯报废拆除、回收；现场井道、机房、厅门等土建整改；新电梯供货安装验收合格、证件办理等。</w:t>
      </w:r>
      <w:r>
        <w:rPr>
          <w:rFonts w:hint="eastAsia" w:ascii="宋体" w:hAnsi="宋体" w:eastAsia="宋体" w:cs="宋体"/>
          <w:bCs/>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遵循国家、行业及地方现行的规范和标准。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985"/>
        <w:tblW w:w="5004"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8"/>
        <w:gridCol w:w="1946"/>
        <w:gridCol w:w="726"/>
        <w:gridCol w:w="694"/>
        <w:gridCol w:w="1056"/>
        <w:gridCol w:w="1195"/>
        <w:gridCol w:w="1031"/>
        <w:gridCol w:w="1199"/>
        <w:gridCol w:w="1275"/>
      </w:tblGrid>
      <w:tr>
        <w:trPr>
          <w:trHeight w:val="470"/>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99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37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5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54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69"/>
              <w:jc w:val="center"/>
              <w:spacing w:line="264"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61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lang w:eastAsia="zh-CN"/>
                <w14:ligatures w14:val="none"/>
              </w:rPr>
            </w:pPr>
            <w:r>
              <w:rPr>
                <w:rFonts w:hint="eastAsia" w:ascii="宋体" w:hAnsi="宋体" w:eastAsia="宋体" w:cs="宋体"/>
                <w:color w:val="000000"/>
                <w:sz w:val="24"/>
                <w:szCs w:val="24"/>
                <w:lang w:eastAsia="zh-CN"/>
              </w:rPr>
              <w:t xml:space="preserve">属性</w:t>
            </w:r>
            <w:r>
              <w:rPr>
                <w:rFonts w:hint="eastAsia" w:ascii="宋体" w:hAnsi="宋体" w:eastAsia="宋体" w:cs="宋体"/>
                <w:color w:val="000000"/>
                <w:sz w:val="24"/>
                <w:szCs w:val="24"/>
                <w:lang w:eastAsia="zh-CN"/>
              </w:rPr>
            </w:r>
            <w:r/>
          </w:p>
        </w:tc>
        <w:tc>
          <w:tcPr>
            <w:tcW w:w="65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000000"/>
                <w:sz w:val="24"/>
                <w:szCs w:val="24"/>
                <w:lang w:eastAsia="zh-CN"/>
                <w14:ligatures w14:val="none"/>
              </w:rPr>
            </w:pPr>
            <w:r>
              <w:rPr>
                <w:rFonts w:hint="eastAsia" w:ascii="宋体" w:hAnsi="宋体" w:eastAsia="宋体" w:cs="宋体"/>
                <w:color w:val="000000"/>
                <w:sz w:val="24"/>
                <w:szCs w:val="24"/>
                <w:lang w:eastAsia="zh-CN"/>
              </w:rPr>
              <w:t xml:space="preserve">备注</w:t>
            </w:r>
            <w:r>
              <w:rPr>
                <w:rFonts w:hint="eastAsia" w:ascii="宋体" w:hAnsi="宋体" w:eastAsia="宋体" w:cs="宋体"/>
                <w:color w:val="000000"/>
                <w:sz w:val="24"/>
                <w:szCs w:val="24"/>
                <w:lang w:eastAsia="zh-CN"/>
              </w:rPr>
            </w:r>
            <w:r/>
          </w:p>
        </w:tc>
      </w:tr>
      <w:tr>
        <w:trPr>
          <w:trHeight w:val="414"/>
        </w:trPr>
        <w:tc>
          <w:tcPr>
            <w:tcW w:w="33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942"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夫子庙院区无障碍垂直电梯</w:t>
            </w:r>
            <w:r>
              <w:rPr>
                <w:rFonts w:hint="eastAsia" w:ascii="宋体" w:hAnsi="宋体" w:eastAsia="宋体" w:cs="宋体"/>
                <w:bCs/>
                <w:color w:val="000000"/>
                <w:sz w:val="24"/>
                <w:szCs w:val="24"/>
              </w:rPr>
            </w:r>
            <w:r/>
          </w:p>
        </w:tc>
        <w:tc>
          <w:tcPr>
            <w:tcW w:w="724"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6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部</w:t>
            </w:r>
            <w:r>
              <w:rPr>
                <w:rFonts w:hint="eastAsia" w:ascii="宋体" w:hAnsi="宋体" w:eastAsia="宋体" w:cs="宋体"/>
                <w:bCs/>
                <w:color w:val="000000"/>
                <w:sz w:val="24"/>
                <w:szCs w:val="24"/>
                <w:lang w:val="en-US" w:eastAsia="zh-CN" w:bidi="ar-SA"/>
              </w:rPr>
            </w:r>
            <w:r/>
          </w:p>
        </w:tc>
        <w:tc>
          <w:tcPr>
            <w:tcW w:w="1054"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350000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核心产品</w:t>
            </w:r>
            <w:r>
              <w:rPr>
                <w:rFonts w:hint="eastAsia" w:ascii="宋体" w:hAnsi="宋体" w:eastAsia="宋体" w:cs="宋体"/>
                <w:bCs/>
                <w:color w:val="000000"/>
                <w:sz w:val="24"/>
                <w:szCs w:val="24"/>
                <w:lang w:val="en-US" w:eastAsia="zh-CN" w:bidi="ar-SA"/>
              </w:rPr>
            </w:r>
            <w:r/>
          </w:p>
        </w:tc>
        <w:tc>
          <w:tcPr>
            <w:tcW w:w="52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2" w:type="dxa"/>
            <w:vAlign w:val="center"/>
            <w:textDirection w:val="lrTb"/>
            <w:noWrap w:val="false"/>
          </w:tcPr>
          <w:p>
            <w:r/>
            <w:r/>
          </w:p>
        </w:tc>
      </w:tr>
    </w:tbl>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9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94"/>
        <w:gridCol w:w="420"/>
        <w:gridCol w:w="795"/>
        <w:gridCol w:w="1903"/>
        <w:gridCol w:w="5505"/>
      </w:tblGrid>
      <w:tr>
        <w:trPr>
          <w:trHeight w:val="434"/>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技术参数</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技术</w:t>
            </w: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建筑</w:t>
            </w:r>
            <w:r>
              <w:rPr>
                <w:rFonts w:hint="eastAsia" w:ascii="宋体" w:hAnsi="宋体" w:eastAsia="宋体" w:cs="宋体"/>
                <w:color w:val="000000"/>
                <w:sz w:val="24"/>
                <w:szCs w:val="24"/>
                <w:highlight w:val="none"/>
                <w:lang w:bidi="ar"/>
              </w:rPr>
              <w:t xml:space="preserve">尺寸</w:t>
            </w:r>
            <w:r>
              <w:rPr>
                <w:rFonts w:hint="eastAsia" w:ascii="宋体" w:hAnsi="宋体" w:eastAsia="宋体" w:cs="宋体"/>
                <w:color w:val="000000"/>
                <w:sz w:val="24"/>
                <w:szCs w:val="24"/>
                <w:highlight w:val="none"/>
                <w:lang w:val="zh-CN" w:bidi="ar"/>
              </w:rPr>
              <w:t xml:space="preserve">（仅供参考，</w:t>
            </w:r>
            <w:r>
              <w:rPr>
                <w:rFonts w:hint="eastAsia" w:ascii="宋体" w:hAnsi="宋体" w:eastAsia="宋体" w:cs="宋体"/>
                <w:b w:val="0"/>
                <w:bCs w:val="0"/>
                <w:color w:val="000000"/>
                <w:sz w:val="24"/>
                <w:szCs w:val="24"/>
                <w:highlight w:val="none"/>
                <w:lang w:val="en-US" w:eastAsia="zh-CN" w:bidi="ar"/>
              </w:rPr>
              <w:t xml:space="preserve">以现场实际为准</w:t>
            </w:r>
            <w:r>
              <w:rPr>
                <w:rFonts w:hint="eastAsia" w:ascii="宋体" w:hAnsi="宋体" w:eastAsia="宋体" w:cs="宋体"/>
                <w:color w:val="000000"/>
                <w:sz w:val="24"/>
                <w:szCs w:val="24"/>
                <w:highlight w:val="none"/>
                <w:lang w:val="zh-CN" w:bidi="ar"/>
              </w:rPr>
              <w:t xml:space="preserve">）</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井道尺寸（宽*深mm）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color w:val="000000"/>
                <w:sz w:val="22"/>
                <w:szCs w:val="24"/>
                <w:highlight w:val="none"/>
                <w:lang w:val="en-US" w:eastAsia="zh-CN"/>
              </w:rPr>
              <w:t xml:space="preserve">2460X2780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开门尺寸（宽*高mm）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color w:val="000000"/>
                <w:sz w:val="22"/>
                <w:szCs w:val="24"/>
                <w:highlight w:val="none"/>
                <w:lang w:val="en-US" w:eastAsia="zh-CN"/>
              </w:rPr>
              <w:t xml:space="preserve">2100X1100</w:t>
            </w:r>
            <w:r>
              <w:rPr>
                <w:rFonts w:hint="eastAsia" w:ascii="宋体" w:hAnsi="宋体" w:eastAsia="宋体" w:cs="宋体"/>
                <w:b w:val="0"/>
                <w:bCs w:val="0"/>
                <w:color w:val="000000"/>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b w:val="0"/>
                <w:bCs w:val="0"/>
                <w:color w:val="000000"/>
                <w:sz w:val="22"/>
                <w:szCs w:val="24"/>
                <w:highlight w:val="none"/>
              </w:rPr>
            </w:pPr>
            <w:r>
              <w:rPr>
                <w:rFonts w:hint="eastAsia" w:ascii="宋体" w:hAnsi="宋体" w:eastAsia="宋体" w:cs="Times New Roman"/>
                <w:b w:val="0"/>
                <w:bCs w:val="0"/>
                <w:color w:val="000000"/>
                <w:sz w:val="22"/>
                <w:szCs w:val="24"/>
                <w:highlight w:val="none"/>
                <w:lang w:bidi="ar"/>
              </w:rPr>
              <w:t xml:space="preserve">轿厢尺寸（宽*深mm）</w:t>
            </w:r>
            <w:r>
              <w:rPr>
                <w:rFonts w:hint="eastAsia" w:ascii="宋体" w:hAnsi="宋体" w:eastAsia="宋体" w:cs="Times New Roman"/>
                <w:b w:val="0"/>
                <w:bCs w:val="0"/>
                <w:color w:val="000000"/>
                <w:sz w:val="22"/>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Times New Roman"/>
                <w:b w:val="0"/>
                <w:bCs w:val="0"/>
                <w:color w:val="000000"/>
                <w:sz w:val="22"/>
                <w:szCs w:val="24"/>
                <w:highlight w:val="none"/>
                <w:lang w:val="en-US" w:eastAsia="zh-CN"/>
              </w:rPr>
            </w:pPr>
            <w:r>
              <w:rPr>
                <w:rFonts w:hint="eastAsia" w:ascii="宋体" w:hAnsi="宋体" w:eastAsia="宋体" w:cs="Times New Roman"/>
                <w:color w:val="000000"/>
                <w:sz w:val="22"/>
                <w:szCs w:val="24"/>
                <w:highlight w:val="none"/>
                <w:lang w:val="en-US" w:eastAsia="zh-CN"/>
              </w:rPr>
              <w:t xml:space="preserve">1600X2100</w:t>
            </w:r>
            <w:r>
              <w:rPr>
                <w:rFonts w:hint="eastAsia" w:ascii="宋体" w:hAnsi="宋体" w:eastAsia="宋体" w:cs="Times New Roman"/>
                <w:b w:val="0"/>
                <w:bCs w:val="0"/>
                <w:color w:val="000000"/>
                <w:sz w:val="22"/>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轿厢净高（mm）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Times New Roman"/>
                <w:color w:val="000000"/>
                <w:sz w:val="22"/>
                <w:szCs w:val="24"/>
                <w:highlight w:val="none"/>
                <w:lang w:val="en-US" w:eastAsia="zh-CN"/>
              </w:rPr>
              <w:t xml:space="preserve">2600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顶层净高（mm）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4490</w:t>
            </w:r>
            <w:r>
              <w:rPr>
                <w:rFonts w:ascii="宋体" w:hAnsi="宋体" w:eastAsia="宋体" w:cs="宋体"/>
                <w:b w:val="0"/>
                <w:bCs w:val="0"/>
                <w:color w:val="000000"/>
                <w:sz w:val="24"/>
                <w:szCs w:val="24"/>
                <w:highlight w:val="none"/>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Cs/>
                <w:color w:val="000000"/>
                <w:sz w:val="24"/>
                <w:szCs w:val="24"/>
                <w:lang w:val="en-US" w:eastAsia="zh-CN"/>
              </w:rPr>
              <w:t xml:space="preserve">机房尺寸(宽×深×高)(mm)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 w:val="0"/>
                <w:bCs w:val="0"/>
                <w:color w:val="000000"/>
                <w:sz w:val="24"/>
                <w:szCs w:val="24"/>
                <w:highlight w:val="none"/>
                <w:lang w:val="en-US"/>
              </w:rPr>
            </w:pPr>
            <w:r>
              <w:rPr>
                <w:rFonts w:hint="eastAsia" w:ascii="宋体" w:hAnsi="宋体" w:eastAsia="宋体" w:cs="宋体"/>
                <w:bCs/>
                <w:color w:val="000000"/>
                <w:sz w:val="24"/>
                <w:szCs w:val="24"/>
                <w:lang w:val="en-US" w:eastAsia="zh-CN"/>
              </w:rPr>
              <w:t xml:space="preserve">4000X6400X3050</w:t>
            </w:r>
            <w:r>
              <w:rPr>
                <w:rFonts w:ascii="宋体" w:hAnsi="宋体" w:eastAsia="宋体" w:cs="宋体"/>
                <w:b w:val="0"/>
                <w:bCs w:val="0"/>
                <w:color w:val="000000"/>
                <w:sz w:val="24"/>
                <w:szCs w:val="24"/>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bidi="ar"/>
              </w:rPr>
              <w:t xml:space="preserve">底坑深度（mm）</w:t>
            </w:r>
            <w:r>
              <w:rPr>
                <w:rFonts w:hint="eastAsia" w:ascii="宋体" w:hAnsi="宋体" w:eastAsia="宋体" w:cs="宋体"/>
                <w:b w:val="0"/>
                <w:bC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2380</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配置</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调速</w:t>
            </w:r>
            <w:r>
              <w:rPr>
                <w:rFonts w:hint="eastAsia" w:ascii="宋体" w:hAnsi="宋体" w:eastAsia="宋体" w:cs="宋体"/>
                <w:color w:val="000000"/>
                <w:sz w:val="24"/>
                <w:szCs w:val="24"/>
                <w:highlight w:val="none"/>
                <w:lang w:bidi="ar"/>
              </w:rPr>
              <w:t xml:space="preserve">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交流变频变压 VVVF</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传动方式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永磁同步无齿轮曳引机</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控制方式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单控</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开门方式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旁开门（</w:t>
            </w:r>
            <w:r>
              <w:rPr>
                <w:rFonts w:hint="eastAsia" w:ascii="宋体" w:hAnsi="宋体" w:eastAsia="宋体" w:cs="宋体"/>
                <w:bCs/>
                <w:color w:val="000000"/>
                <w:sz w:val="24"/>
                <w:szCs w:val="24"/>
                <w:lang w:val="zh-CN" w:eastAsia="zh-CN"/>
              </w:rPr>
              <w:t xml:space="preserve">左开门</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门保护装置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光幕保护</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电源适应</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动力电源：AC 3相 380V 50Hz</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额定</w:t>
            </w:r>
            <w:r>
              <w:rPr>
                <w:rFonts w:hint="eastAsia" w:ascii="宋体" w:hAnsi="宋体" w:eastAsia="宋体" w:cs="宋体"/>
                <w:color w:val="000000"/>
                <w:sz w:val="24"/>
                <w:szCs w:val="24"/>
                <w:highlight w:val="none"/>
                <w:lang w:bidi="ar"/>
              </w:rPr>
              <w:t xml:space="preserve">速度</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m/s</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≥1.5m/s</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数量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1台</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层站门</w:t>
            </w:r>
            <w:r>
              <w:rPr>
                <w:rFonts w:hint="eastAsia" w:ascii="宋体" w:hAnsi="宋体" w:eastAsia="宋体" w:cs="宋体"/>
                <w:color w:val="000000"/>
                <w:sz w:val="24"/>
                <w:szCs w:val="24"/>
                <w:highlight w:val="none"/>
                <w:lang w:val="en-US" w:eastAsia="zh-CN" w:bidi="ar"/>
              </w:rPr>
              <w:t xml:space="preserve">数</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5层/5站/5门</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en-US" w:eastAsia="zh-CN" w:bidi="ar"/>
              </w:rPr>
              <w:t xml:space="preserve">额定</w:t>
            </w:r>
            <w:r>
              <w:rPr>
                <w:rFonts w:hint="eastAsia" w:ascii="宋体" w:hAnsi="宋体" w:eastAsia="宋体" w:cs="宋体"/>
                <w:color w:val="000000"/>
                <w:sz w:val="24"/>
                <w:szCs w:val="24"/>
                <w:highlight w:val="none"/>
                <w:lang w:bidi="ar"/>
              </w:rPr>
              <w:t xml:space="preserve">载重</w:t>
            </w:r>
            <w:r>
              <w:rPr>
                <w:rFonts w:hint="eastAsia" w:ascii="宋体" w:hAnsi="宋体" w:eastAsia="宋体" w:cs="宋体"/>
                <w:color w:val="000000"/>
                <w:sz w:val="24"/>
                <w:szCs w:val="24"/>
                <w:highlight w:val="none"/>
                <w:lang w:val="en-US" w:eastAsia="zh-CN" w:bidi="ar"/>
              </w:rPr>
              <w:t xml:space="preserve">量（kg）</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≥1600kg</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提升高度（m）</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13.51</w:t>
            </w:r>
            <w:r>
              <w:rPr>
                <w:rFonts w:ascii="宋体" w:hAnsi="宋体" w:eastAsia="宋体" w:cs="宋体"/>
                <w:bCs/>
                <w:color w:val="000000"/>
                <w:sz w:val="24"/>
                <w:szCs w:val="24"/>
                <w:lang w:val="en-US" w:eastAsia="zh-CN"/>
              </w:rPr>
            </w:r>
            <w:r/>
          </w:p>
        </w:tc>
      </w:tr>
      <w:tr>
        <w:trPr>
          <w:trHeight w:val="58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乘客电梯轿厢运行时垂直方向和水平方向的振动加速度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符合国标</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平层准确度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w:t>
            </w:r>
            <w:r>
              <w:rPr>
                <w:rFonts w:hint="eastAsia" w:ascii="宋体" w:hAnsi="宋体" w:eastAsia="宋体" w:cs="宋体"/>
                <w:bCs/>
                <w:color w:val="000000"/>
                <w:sz w:val="24"/>
                <w:szCs w:val="24"/>
                <w:lang w:val="en-US" w:eastAsia="zh-CN"/>
              </w:rPr>
              <w:t xml:space="preserve">±5mm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噪声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满足国标</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内外</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装饰</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轿厢顶</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LED照明，通风、监控设备</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轿厢壁</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304发纹不锈钢≥1.5mm </w:t>
            </w:r>
            <w:r>
              <w:rPr>
                <w:rFonts w:hint="eastAsia" w:ascii="宋体" w:hAnsi="宋体" w:eastAsia="宋体" w:cs="宋体"/>
                <w:bCs/>
                <w:color w:val="000000"/>
                <w:sz w:val="24"/>
                <w:szCs w:val="24"/>
                <w:lang w:val="en-US" w:eastAsia="zh-CN"/>
              </w:rPr>
            </w:r>
            <w:r/>
          </w:p>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后壁不锈钢镜面+三侧扶手</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304发纹不锈钢≥1.5mm</w:t>
            </w:r>
            <w:r>
              <w:rPr>
                <w:rFonts w:hint="eastAsia" w:ascii="宋体" w:hAnsi="宋体" w:eastAsia="宋体" w:cs="宋体"/>
                <w:bCs/>
                <w:color w:val="000000"/>
                <w:sz w:val="24"/>
                <w:szCs w:val="24"/>
                <w:lang w:val="en-US" w:eastAsia="zh-CN"/>
              </w:rPr>
            </w:r>
            <w:r/>
          </w:p>
        </w:tc>
      </w:tr>
      <w:tr>
        <w:trPr>
          <w:trHeight w:val="287"/>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地坎</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硬质铝合金</w:t>
            </w:r>
            <w:r>
              <w:rPr>
                <w:rFonts w:hint="eastAsia" w:ascii="宋体" w:hAnsi="宋体" w:eastAsia="宋体" w:cs="宋体"/>
                <w:bCs/>
                <w:color w:val="000000"/>
                <w:sz w:val="24"/>
                <w:szCs w:val="24"/>
                <w:lang w:val="en-US" w:eastAsia="zh-CN"/>
              </w:rPr>
            </w:r>
            <w:r/>
          </w:p>
        </w:tc>
      </w:tr>
      <w:tr>
        <w:trPr>
          <w:trHeight w:val="317"/>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269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轿厢地面</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PVC（颜色由采购人指定）</w:t>
            </w:r>
            <w:r>
              <w:rPr>
                <w:rFonts w:hint="eastAsia" w:ascii="宋体" w:hAnsi="宋体" w:eastAsia="宋体" w:cs="宋体"/>
                <w:bCs/>
                <w:color w:val="000000"/>
                <w:sz w:val="24"/>
                <w:szCs w:val="24"/>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操作盘</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面板材质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显示器</w:t>
            </w:r>
            <w:r>
              <w:rPr>
                <w:rFonts w:hint="eastAsia" w:ascii="宋体" w:hAnsi="宋体" w:eastAsia="宋体" w:cs="宋体"/>
                <w:color w:val="000000"/>
                <w:sz w:val="24"/>
                <w:szCs w:val="24"/>
                <w:highlight w:val="none"/>
                <w:lang w:val="en-US" w:eastAsia="zh-CN" w:bidi="ar"/>
              </w:rPr>
              <w:t xml:space="preserve">及</w:t>
            </w:r>
            <w:r>
              <w:rPr>
                <w:rFonts w:hint="eastAsia" w:ascii="宋体" w:hAnsi="宋体" w:eastAsia="宋体" w:cs="宋体"/>
                <w:color w:val="000000"/>
                <w:sz w:val="24"/>
                <w:szCs w:val="24"/>
                <w:highlight w:val="none"/>
                <w:lang w:bidi="ar"/>
              </w:rPr>
              <w:t xml:space="preserve">显示内容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段码、运行方向、位置</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操作功能</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标准配置（按钮选层、开关门、紧急呼叫 ）</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标示要求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标准配置+残疾人操纵箱</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按钮要求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zh-CN" w:eastAsia="zh-CN"/>
              </w:rPr>
              <w:t xml:space="preserve">圆型不锈钢、</w:t>
            </w:r>
            <w:r>
              <w:rPr>
                <w:rFonts w:hint="eastAsia" w:ascii="宋体" w:hAnsi="宋体" w:eastAsia="宋体" w:cs="宋体"/>
                <w:bCs/>
                <w:color w:val="000000"/>
                <w:sz w:val="24"/>
                <w:szCs w:val="24"/>
                <w:lang w:val="en-US" w:eastAsia="zh-CN"/>
              </w:rPr>
              <w:t xml:space="preserve">盲文按钮</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厅门</w:t>
            </w:r>
            <w:r>
              <w:rPr>
                <w:rFonts w:hint="eastAsia" w:ascii="宋体" w:hAnsi="宋体" w:eastAsia="宋体" w:cs="宋体"/>
                <w:color w:val="000000"/>
                <w:sz w:val="24"/>
                <w:szCs w:val="24"/>
                <w:highlight w:val="none"/>
                <w:lang w:bidi="ar"/>
              </w:rPr>
            </w:r>
            <w:r/>
          </w:p>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及门套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厅门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w:t>
            </w:r>
            <w:r>
              <w:rPr>
                <w:rFonts w:hint="eastAsia" w:ascii="宋体" w:hAnsi="宋体" w:eastAsia="宋体" w:cs="宋体"/>
                <w:bCs/>
                <w:color w:val="000000"/>
                <w:sz w:val="24"/>
                <w:szCs w:val="24"/>
                <w:lang w:val="en-US" w:eastAsia="zh-CN"/>
              </w:rPr>
            </w:r>
            <w:r/>
          </w:p>
        </w:tc>
      </w:tr>
      <w:tr>
        <w:trPr>
          <w:trHeight w:val="286"/>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厚度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不锈钢原色</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其他要求</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耐火完整性≥120分钟</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门套</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304发纹不锈钢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厚度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≥1.5mm</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颜色</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不锈钢原色</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楼层召唤</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显示</w:t>
            </w:r>
            <w:r>
              <w:rPr>
                <w:rFonts w:hint="eastAsia" w:ascii="宋体" w:hAnsi="宋体" w:eastAsia="宋体" w:cs="宋体"/>
                <w:color w:val="000000"/>
                <w:sz w:val="24"/>
                <w:szCs w:val="24"/>
                <w:highlight w:val="none"/>
                <w:lang w:val="en-US" w:eastAsia="zh-CN" w:bidi="ar"/>
              </w:rPr>
              <w:t xml:space="preserve">及</w:t>
            </w:r>
            <w:r>
              <w:rPr>
                <w:rFonts w:hint="eastAsia" w:ascii="宋体" w:hAnsi="宋体" w:eastAsia="宋体" w:cs="宋体"/>
                <w:color w:val="000000"/>
                <w:sz w:val="24"/>
                <w:szCs w:val="24"/>
                <w:highlight w:val="none"/>
                <w:lang w:bidi="ar"/>
              </w:rPr>
              <w:t xml:space="preserve">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段码、运行方向、位置</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面板材质</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发纹不锈钢</w:t>
            </w:r>
            <w:r>
              <w:rPr>
                <w:rFonts w:hint="eastAsia"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0"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5"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安装位置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center"/>
              <w:keepLines w:val="0"/>
              <w:keepNext w:val="0"/>
              <w:pageBreakBefore w:val="0"/>
              <w:spacing w:after="0" w:line="240"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位置参照现场、外招内嵌式</w:t>
            </w:r>
            <w:r>
              <w:rPr>
                <w:rFonts w:ascii="宋体" w:hAnsi="宋体" w:eastAsia="宋体" w:cs="宋体"/>
                <w:bCs/>
                <w:color w:val="000000"/>
                <w:sz w:val="24"/>
                <w:szCs w:val="24"/>
                <w:lang w:val="en-US" w:eastAsia="zh-CN"/>
              </w:rPr>
            </w:r>
            <w:r/>
          </w:p>
        </w:tc>
      </w:tr>
      <w:tr>
        <w:trPr>
          <w:trHeight w:val="285"/>
        </w:trPr>
        <w:tc>
          <w:tcPr>
            <w:tcBorders>
              <w:top w:val="single" w:color="000000" w:sz="4" w:space="0"/>
              <w:left w:val="single" w:color="000000" w:sz="4" w:space="0"/>
              <w:bottom w:val="single" w:color="000000" w:sz="4" w:space="0"/>
              <w:right w:val="single" w:color="000000" w:sz="4" w:space="0"/>
            </w:tcBorders>
            <w:tcW w:w="1294"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其他要求</w:t>
            </w:r>
            <w:r>
              <w:rPr>
                <w:rFonts w:hint="eastAsia" w:ascii="宋体" w:hAnsi="宋体" w:eastAsia="宋体" w:cs="宋体"/>
                <w:color w:val="000000"/>
                <w:sz w:val="24"/>
                <w:szCs w:val="24"/>
                <w:highlight w:val="none"/>
                <w:lang w:val="en-US" w:eastAsia="zh-CN"/>
              </w:rPr>
            </w:r>
            <w:r/>
          </w:p>
        </w:tc>
        <w:tc>
          <w:tcPr>
            <w:gridSpan w:val="4"/>
            <w:tcBorders>
              <w:top w:val="single" w:color="000000" w:sz="4" w:space="0"/>
              <w:left w:val="single" w:color="000000" w:sz="4" w:space="0"/>
              <w:bottom w:val="single" w:color="000000" w:sz="4" w:space="0"/>
              <w:right w:val="single" w:color="000000" w:sz="4" w:space="0"/>
            </w:tcBorders>
            <w:tcW w:w="8623" w:type="dxa"/>
            <w:vAlign w:val="center"/>
            <w:textDirection w:val="lrTb"/>
            <w:noWrap w:val="false"/>
          </w:tcPr>
          <w:p>
            <w:pPr>
              <w:pStyle w:val="869"/>
              <w:jc w:val="both"/>
              <w:keepLines w:val="0"/>
              <w:keepNext w:val="0"/>
              <w:pageBreakBefore w:val="0"/>
              <w:spacing w:after="0"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现场井道、机房、厅门改造：包含井道增加槽钢（因井道内无支架圈梁）、底坑整改、门套更换、机房所有孔洞整改、所有外召孔洞整改等，确保达到验收合格条件。</w:t>
            </w:r>
            <w:r>
              <w:rPr>
                <w:rFonts w:hint="eastAsia" w:ascii="宋体" w:hAnsi="宋体" w:eastAsia="宋体" w:cs="宋体"/>
                <w:bCs/>
                <w:color w:val="0000ff"/>
                <w:sz w:val="24"/>
                <w:szCs w:val="24"/>
                <w:lang w:val="en-US" w:eastAsia="zh-CN"/>
              </w:rPr>
            </w:r>
            <w:r/>
          </w:p>
        </w:tc>
      </w:tr>
      <w:tr>
        <w:trPr>
          <w:trHeight w:val="628"/>
        </w:trPr>
        <w:tc>
          <w:tcPr>
            <w:tcBorders>
              <w:top w:val="single" w:color="000000" w:sz="4" w:space="0"/>
              <w:left w:val="single" w:color="000000" w:sz="4" w:space="0"/>
              <w:bottom w:val="none" w:color="000000" w:sz="0" w:space="0"/>
              <w:right w:val="single" w:color="000000" w:sz="4" w:space="0"/>
            </w:tcBorders>
            <w:tcW w:w="1294" w:type="dxa"/>
            <w:vAlign w:val="center"/>
            <w:vMerge w:val="restart"/>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功能及要求</w:t>
            </w:r>
            <w:r>
              <w:rPr>
                <w:rFonts w:hint="eastAsia" w:ascii="宋体" w:hAnsi="宋体" w:eastAsia="宋体" w:cs="宋体"/>
                <w:color w:val="000000"/>
                <w:sz w:val="24"/>
                <w:szCs w:val="24"/>
                <w:highlight w:val="none"/>
              </w:rPr>
            </w:r>
            <w:r/>
          </w:p>
        </w:tc>
        <w:tc>
          <w:tcPr>
            <w:gridSpan w:val="3"/>
            <w:tcBorders>
              <w:top w:val="single" w:color="000000" w:sz="4" w:space="0"/>
              <w:left w:val="single" w:color="000000" w:sz="4" w:space="0"/>
              <w:bottom w:val="none" w:color="000000" w:sz="0"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曳引机</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曳引机同步运行</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超速电气保护</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超速机械保护</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电动机空转保护</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轿厢意外移动保护装置</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双重减震</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运行时间监测</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位置异常自动校正</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超载报警（与主机负载相关）</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电源相位故障监测</w:t>
            </w:r>
            <w:r>
              <w:rPr>
                <w:rFonts w:hint="eastAsia" w:ascii="宋体" w:hAnsi="宋体" w:eastAsia="宋体" w:cs="宋体"/>
                <w:bCs/>
                <w:color w:val="0000ff"/>
                <w:sz w:val="24"/>
                <w:szCs w:val="24"/>
                <w:lang w:val="en-US" w:eastAsia="zh-CN"/>
              </w:rPr>
            </w:r>
            <w:r/>
          </w:p>
        </w:tc>
      </w:tr>
      <w:tr>
        <w:trPr>
          <w:trHeight w:val="97"/>
        </w:trPr>
        <w:tc>
          <w:tcPr>
            <w:tcBorders>
              <w:top w:val="none" w:color="000000" w:sz="0" w:space="0"/>
              <w:left w:val="single" w:color="000000" w:sz="4" w:space="0"/>
              <w:bottom w:val="none" w:color="000000" w:sz="0"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门机系统</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光幕</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门的异常检查装置</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轿门防扒开装置</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耐冲击层门系统</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开门报警</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强制关门</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开门时间自动调整</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ff"/>
                <w:sz w:val="24"/>
                <w:szCs w:val="24"/>
                <w:lang w:val="en-US" w:eastAsia="zh-CN"/>
              </w:rPr>
            </w:pPr>
            <w:r>
              <w:rPr>
                <w:rFonts w:hint="eastAsia" w:ascii="宋体" w:hAnsi="宋体" w:eastAsia="宋体" w:cs="宋体"/>
                <w:bCs/>
                <w:color w:val="000000"/>
                <w:sz w:val="24"/>
                <w:szCs w:val="24"/>
                <w:lang w:val="en-US" w:eastAsia="zh-CN"/>
              </w:rPr>
              <w:t xml:space="preserve">不能开门时救出运转（门机逻辑+控制）</w:t>
            </w:r>
            <w:r>
              <w:rPr>
                <w:rFonts w:hint="eastAsia" w:ascii="宋体" w:hAnsi="宋体" w:eastAsia="宋体" w:cs="宋体"/>
                <w:bCs/>
                <w:color w:val="0000ff"/>
                <w:sz w:val="24"/>
                <w:szCs w:val="24"/>
                <w:lang w:val="en-US" w:eastAsia="zh-CN"/>
              </w:rPr>
            </w:r>
            <w:r/>
          </w:p>
        </w:tc>
      </w:tr>
      <w:tr>
        <w:trPr>
          <w:trHeight w:val="1072"/>
        </w:trPr>
        <w:tc>
          <w:tcPr>
            <w:tcBorders>
              <w:top w:val="none" w:color="000000" w:sz="0" w:space="0"/>
              <w:left w:val="single" w:color="000000" w:sz="4" w:space="0"/>
              <w:bottom w:val="none" w:color="000000" w:sz="0"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控制系统</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层高自测定</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启动补偿功能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最近楼层服务运转</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自动再平层</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防捣乱功能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取消错误呼叫功能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禁止反向运行登录</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满载不停</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停用运转</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b0f0"/>
                <w:sz w:val="24"/>
                <w:szCs w:val="24"/>
                <w:lang w:val="en-US" w:eastAsia="zh-CN"/>
              </w:rPr>
            </w:pPr>
            <w:r>
              <w:rPr>
                <w:rFonts w:hint="eastAsia" w:ascii="宋体" w:hAnsi="宋体" w:eastAsia="宋体" w:cs="宋体"/>
                <w:bCs/>
                <w:color w:val="000000"/>
                <w:sz w:val="24"/>
                <w:szCs w:val="24"/>
                <w:lang w:val="en-US" w:eastAsia="zh-CN"/>
              </w:rPr>
              <w:t xml:space="preserve">基准层返回</w:t>
            </w:r>
            <w:r>
              <w:rPr>
                <w:rFonts w:hint="eastAsia" w:ascii="宋体" w:hAnsi="宋体" w:eastAsia="宋体" w:cs="宋体"/>
                <w:bCs/>
                <w:color w:val="00b0f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故障电梯自动分离</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运行次数显示</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故障自动检测</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故障自动存储</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操作盘文字信息</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到站响钟（轿厢内）</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五方通话</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警铃（轿顶）</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轿厢应急照明</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轿厢照明、换气扇自动关闭</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火灾管制运转（一个避难层且在端层）</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避难层返回信号输出</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消防服务运转（嵌入式）</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井道内急停开关</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网络数字视频网线（轿厢至控制柜）</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电梯运行监视用信号输出接口</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轿厢摄像头</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ascii="宋体" w:hAnsi="宋体" w:eastAsia="宋体" w:cs="宋体"/>
                <w:bCs/>
                <w:color w:val="ff0000"/>
                <w:sz w:val="24"/>
                <w:szCs w:val="24"/>
                <w:lang w:val="en-US" w:eastAsia="zh-CN"/>
              </w:rPr>
            </w:pPr>
            <w:r>
              <w:rPr>
                <w:rFonts w:hint="eastAsia" w:ascii="宋体" w:hAnsi="宋体" w:eastAsia="宋体" w:cs="宋体"/>
                <w:bCs/>
                <w:color w:val="000000"/>
                <w:sz w:val="24"/>
                <w:szCs w:val="24"/>
                <w:lang w:val="en-US" w:eastAsia="zh-CN"/>
              </w:rPr>
              <w:t xml:space="preserve">控柜预留RS-485接口功能</w:t>
            </w:r>
            <w:r>
              <w:rPr>
                <w:rFonts w:ascii="宋体" w:hAnsi="宋体" w:eastAsia="宋体" w:cs="宋体"/>
                <w:bCs/>
                <w:color w:val="ff0000"/>
                <w:sz w:val="24"/>
                <w:szCs w:val="24"/>
                <w:lang w:val="en-US" w:eastAsia="zh-CN"/>
              </w:rPr>
            </w:r>
            <w:r/>
          </w:p>
        </w:tc>
      </w:tr>
      <w:tr>
        <w:trPr>
          <w:trHeight w:val="662"/>
        </w:trPr>
        <w:tc>
          <w:tcPr>
            <w:tcBorders>
              <w:top w:val="none" w:color="000000" w:sz="0" w:space="0"/>
              <w:left w:val="single" w:color="000000" w:sz="4" w:space="0"/>
              <w:bottom w:val="single" w:color="000000" w:sz="4" w:space="0"/>
              <w:right w:val="single" w:color="000000" w:sz="4" w:space="0"/>
            </w:tcBorders>
            <w:tcW w:w="1294" w:type="dxa"/>
            <w:vAlign w:val="center"/>
            <w:vMerge w:val="continue"/>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配套设备</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电梯机房空调（2P柜机，符合国标）</w:t>
            </w:r>
            <w:r>
              <w:rPr>
                <w:rFonts w:hint="eastAsia" w:ascii="宋体" w:hAnsi="宋体" w:eastAsia="宋体" w:cs="宋体"/>
                <w:bCs/>
                <w:color w:val="000000"/>
                <w:sz w:val="24"/>
                <w:szCs w:val="24"/>
                <w:lang w:val="en-US" w:eastAsia="zh-CN"/>
              </w:rPr>
            </w:r>
            <w:r/>
          </w:p>
        </w:tc>
      </w:tr>
      <w:tr>
        <w:trPr>
          <w:trHeight w:val="660"/>
        </w:trPr>
        <w:tc>
          <w:tcPr>
            <w:gridSpan w:val="4"/>
            <w:tcBorders>
              <w:top w:val="single" w:color="000000" w:sz="4" w:space="0"/>
              <w:left w:val="single" w:color="000000" w:sz="4" w:space="0"/>
              <w:bottom w:val="single" w:color="000000" w:sz="4" w:space="0"/>
              <w:right w:val="single" w:color="000000" w:sz="4" w:space="0"/>
            </w:tcBorders>
            <w:tcW w:w="4412" w:type="dxa"/>
            <w:vAlign w:val="center"/>
            <w:textDirection w:val="lrTb"/>
            <w:noWrap w:val="false"/>
          </w:tcPr>
          <w:p>
            <w:pPr>
              <w:pStyle w:val="869"/>
              <w:jc w:val="center"/>
              <w:keepLines w:val="0"/>
              <w:keepNext w:val="0"/>
              <w:pageBreakBefore w:val="0"/>
              <w:spacing w:after="0"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bidi="ar"/>
              </w:rPr>
              <w:t xml:space="preserve">其他技术要求</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5505" w:type="dxa"/>
            <w:vAlign w:val="center"/>
            <w:textDirection w:val="lrTb"/>
            <w:noWrap w:val="false"/>
          </w:tcPr>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(1)控制柜抗雷击浪涌电压达到</w:t>
            </w:r>
            <w:r>
              <w:rPr>
                <w:rFonts w:hint="eastAsia" w:ascii="宋体" w:hAnsi="宋体" w:eastAsia="宋体" w:cs="宋体"/>
                <w:bCs/>
                <w:color w:val="000000"/>
                <w:sz w:val="24"/>
                <w:szCs w:val="24"/>
                <w:highlight w:val="none"/>
                <w:lang w:val="en-US" w:eastAsia="zh-CN"/>
              </w:rPr>
              <w:t xml:space="preserve">15KVkV</w:t>
            </w:r>
            <w:r>
              <w:rPr>
                <w:rFonts w:hint="eastAsia" w:ascii="宋体" w:hAnsi="宋体" w:eastAsia="宋体" w:cs="宋体"/>
                <w:bCs/>
                <w:color w:val="000000"/>
                <w:sz w:val="24"/>
                <w:szCs w:val="24"/>
                <w:lang w:val="en-US" w:eastAsia="zh-CN"/>
              </w:rPr>
              <w:t xml:space="preserve">及以上。</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(2)电梯具备物联网功能。</w:t>
            </w:r>
            <w:r>
              <w:rPr>
                <w:rFonts w:hint="eastAsia" w:ascii="宋体" w:hAnsi="宋体" w:eastAsia="宋体" w:cs="宋体"/>
                <w:bCs/>
                <w:color w:val="000000"/>
                <w:sz w:val="24"/>
                <w:szCs w:val="24"/>
                <w:lang w:val="en-US" w:eastAsia="zh-CN"/>
              </w:rPr>
            </w:r>
            <w:r/>
          </w:p>
          <w:p>
            <w:pPr>
              <w:pStyle w:val="869"/>
              <w:jc w:val="left"/>
              <w:keepLines w:val="0"/>
              <w:keepNext w:val="0"/>
              <w:pageBreakBefore w:val="0"/>
              <w:spacing w:after="0" w:line="24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上述技术要求签订合同时提供第三方机构出具的检测报告供采购人核验。</w:t>
            </w:r>
            <w:r>
              <w:rPr>
                <w:rFonts w:hint="eastAsia" w:ascii="宋体" w:hAnsi="宋体" w:eastAsia="宋体" w:cs="宋体"/>
                <w:bCs/>
                <w:color w:val="000000"/>
                <w:sz w:val="24"/>
                <w:szCs w:val="24"/>
                <w:lang w:val="en-US" w:eastAsia="zh-CN"/>
              </w:rPr>
            </w:r>
            <w:r/>
          </w:p>
        </w:tc>
      </w:tr>
    </w:tbl>
    <w:p>
      <w:pPr>
        <w:pStyle w:val="869"/>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97" w:name="_Toc120614281"/>
      <w:r>
        <w:rPr>
          <w:rFonts w:hint="eastAsia" w:ascii="宋体" w:hAnsi="宋体" w:eastAsia="宋体" w:cs="宋体"/>
          <w:color w:val="000000"/>
          <w:sz w:val="24"/>
          <w:szCs w:val="24"/>
          <w:lang w:val="en-US" w:eastAsia="zh-CN"/>
        </w:rPr>
        <w:t xml:space="preserve">1.报价要求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（1）投标报价为固定总价，供应商可以在投标前勘察现场，数据以现场实测为准，并充分考虑所有相关因素及各类市场风险和政策性调整确定风险系数计入投标总价，中标后不作调整。</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现场不提供办公、住宿场所，供应商自行考虑相关费用，相关费用已包含在本次报价中。电源提供二级箱接入点，相关使用费用，供应商自行考虑，相关费用已包含在本次报价中。水源提供地面接入点，相关使用费用，供应商自行考虑，相关费用已包含在本次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（5）供应商报价除包含招标文件中列明的项目外，还应包括保障产品正常使用应当具有的物资和服务，对产品正常使用应当具有的物资和服务理解不一致的以采购人理解为准。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b/>
          <w:bCs/>
          <w:color w:val="000000"/>
          <w:sz w:val="24"/>
          <w:szCs w:val="24"/>
          <w:lang w:val="en-US" w:eastAsia="zh-CN"/>
        </w:rPr>
        <w:t xml:space="preserve">本项目报价中，包含原旧电梯（迅达有机房5层5站电梯，含轿厢、钢丝绳、随行电缆、层门、门套、曳引机等附属设备）的设备拆除、拆除现场清理、搬运出院以及配合办理报废手续及新电梯使用登记手续的费用，供应商在报价时，应自行考虑由此产生的费用</w:t>
      </w:r>
      <w:r>
        <w:rPr>
          <w:rFonts w:hint="eastAsia" w:ascii="宋体" w:hAnsi="宋体" w:eastAsia="宋体" w:cs="宋体"/>
          <w:b/>
          <w:bCs/>
          <w:color w:val="000000"/>
          <w:sz w:val="24"/>
          <w:szCs w:val="24"/>
          <w:lang w:val="en-US" w:eastAsia="zh-CN"/>
        </w:rPr>
        <w:t xml:space="preserve">，相关费用应包含在本次报价中，否则按</w:t>
      </w:r>
      <w:r>
        <w:rPr>
          <w:rFonts w:hint="eastAsia" w:ascii="宋体" w:hAnsi="宋体" w:eastAsia="宋体" w:cs="宋体"/>
          <w:b/>
          <w:bCs/>
          <w:color w:val="000000"/>
          <w:sz w:val="24"/>
          <w:szCs w:val="24"/>
          <w:lang w:val="zh-CN" w:eastAsia="zh-CN"/>
        </w:rPr>
        <w:t xml:space="preserve">无效投标处理。</w:t>
      </w:r>
      <w:r>
        <w:rPr>
          <w:rFonts w:hint="eastAsia" w:ascii="宋体" w:hAnsi="宋体" w:eastAsia="宋体" w:cs="宋体"/>
          <w:color w:val="000000"/>
          <w:sz w:val="24"/>
          <w:szCs w:val="24"/>
          <w:lang w:val="zh-CN"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电梯拆除及安装工程，供应商严格按照投标文件承诺的施工组织方案，组建项目管理团队并组织专业施工力量负责实施。供应商对工程的质量、安全、进度及文明施工负全责。为确保工程质量和施工安全，严禁供应商以任何形式将本项目整体转包、违法分包或变相转让给其他法人、组织或个人。供应商应提供其注册执业资格的项目经理及特种作业人员（电梯安装维修工）的劳动合同、社保缴纳证明及上岗证书（备查），确保现场实际施工主体与投标承诺及合同约定完全一致。如发现擅自转包行为，采购人有权立即终止合同，并追究供应商的违约责任。</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①供应商提供所需全部电梯设备、材料，运抵采购人工地现场，负责安装、调试，直至通过采购人所在地特种设备检验机构验收合格，获得特种设备检验机构发给的验收合格证，交付采购人使用，即交钥匙工程。</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本项目为交钥匙工程。供应商有义务保证采购人系统的功能性和完整性，未在招标文件中明示的附配件，供应商应予以补充。如项目实施过程中因缺少线材辅料、配件或服务导致采购人系统无法正常运行的，供应商须提供相关材料，以上所有相关费用包含在本次项目报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③供应商应为其项目实施人员办理各项保险，保险费由供应商承担，加强安全管理，严格操作规程，在货物运输、实施过程中如出现任何安全事故，责任由供应商承担。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①供应商应保证货物是全新、未使用过的、符合国家质量检测标准的原装合格正品。</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②所有设备、附（配）件应具备该类产品的功能要求，无瑕疵和缺陷，质量为合格产品，同时有明确的生产厂商或制造厂商，设备到货后应派员保管。</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③供应商应保证提供的产品不得侵犯第三方专利权、商标权和工业设计权、版权等。否则供应商应负全部责任，并承担由此引起的一切后果。</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④供应商提供的货物必须符合国家有关质量技术标准及相关法律、法规规定的要求。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⑤供应商应保证其货物在正常使用时，其使用寿命期内应具有良好的性能。货物最终验收后，供应商应对由于设计、工艺或材料的缺陷而发生的任何不足或质量问题负责，并承担由此引起的一切后果。</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①验收标准：供应商提供的设备必须符合我国最新颁布的与之相关的技术规范与标准，同时须满足符合投标响应文件要求。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验收包括：数量、外观、质量、性能、随机备品备件、产品合格证、电梯特种设备注册登记证、装箱单、随机资料及包装。所有设备和附配件应符合其规定的性能，无瑕疵和缺陷，质量为合格品，同时有明确的制造厂商。供应商对质量问题负责包退、包换和包修，因此发生的费用由供应商负责。</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④供应商授权的技术人员在采购人指定地点开箱、安装、调试，协同用户一起进行验收，直至设备技术指标经验收合格，出具验收报告，经最终用户同意签字才能正式交付用户使用。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⑤产品配置必须符合投标文件要求。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⑥项目验收时间：向政府相关部门报验，最终得到政府相关部门验收合格、取得新电梯特种设备注册登记证后七个工作日内。</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（4）质保（维保）及售后要求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①质保和维保期限：本项目整体质保期2年(质保期间免费维保及电梯年检)，所有相关费用包含在本次报价中（自验收报告签字确认之日起，进入质保期）。</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②质保期内因设备本身缺陷造成各种故障应由供应商提供技术服务和维修（费用包含在投标总价中）。</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产品出现故障损坏时，供应商接到报修通知后的响应时间为10分钟，安排的维修人员在30分钟内赶到现场，一般故障1小时内解决，现场解决不了的重大故障，须从故障报修的隔天起计，2个自然日内解决。质保期后，供应商提供终身服务，在设备的设计使用寿命周期内，供应商应能保证采购人更换到原厂正宗的备件材料，确保产品的正常使用，维修费用按照材料成本收取。</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质保和维保期内，供应商需按照《电梯维护保养规则》最新版本的要求提供以下服务：每月、每季度、半年、全年实施定期性保养；一梯一档记录；监护（保驾）服务：当有重大活动时，或有重要领导或重要客人来访时，采购人提前通知维修部，供应商须提前对要使用的电梯进行安全运行方面的检测和确认，并在活动期间派专人对电梯进行现场监护，提醒服务，年检服务等。</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（5）保密要求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供应商不得将在履行本合同中知悉的采购人任何信息随意泄露、擅自使用。如违反本条款规定，供应商应当承担相应的法律责任。</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3.付款条件</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（1）交付时间：</w:t>
      </w:r>
      <w:r>
        <w:rPr>
          <w:rFonts w:hint="eastAsia" w:ascii="宋体" w:hAnsi="宋体" w:eastAsia="宋体" w:cs="宋体"/>
          <w:color w:val="000000"/>
          <w:sz w:val="24"/>
          <w:szCs w:val="24"/>
          <w:lang w:val="en-US" w:eastAsia="zh-CN"/>
        </w:rPr>
        <w:t xml:space="preserve">签订合同后45天内完成本项目（包含取得使用合格证所需时间），将所有设备安装到位通过验收并交付采购人使用。</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（2）交付地点：采购人指定地点</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中要求提供证明材料的，签订合同时供应商应按</w:t>
      </w: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要求和投标文件响应内容提供相应证明材料原件供采购人核验。供应商未按</w:t>
      </w: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要求和投标文件响应内容提供或者提供的证明材料不符合</w:t>
      </w:r>
      <w:r>
        <w:rPr>
          <w:rFonts w:hint="eastAsia" w:ascii="宋体" w:hAnsi="宋体" w:eastAsia="宋体" w:cs="宋体"/>
          <w:color w:val="000000"/>
          <w:sz w:val="24"/>
          <w:szCs w:val="24"/>
          <w:lang w:val="en-US" w:eastAsia="zh-CN"/>
        </w:rPr>
        <w:t xml:space="preserve">采购文件</w:t>
      </w:r>
      <w:r>
        <w:rPr>
          <w:rFonts w:ascii="宋体" w:hAnsi="宋体" w:eastAsia="宋体" w:cs="宋体"/>
          <w:color w:val="000000"/>
          <w:sz w:val="24"/>
          <w:szCs w:val="24"/>
          <w:lang w:val="en-US" w:eastAsia="zh-CN"/>
        </w:rPr>
        <w:t xml:space="preserve">要求的，视为提供虚假材料谋取中标，采购人将取消其中标资格。</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招标文件</w:t>
      </w:r>
      <w:r>
        <w:rPr>
          <w:rFonts w:ascii="宋体" w:hAnsi="宋体" w:eastAsia="宋体" w:cs="宋体"/>
          <w:color w:val="000000"/>
          <w:sz w:val="24"/>
          <w:szCs w:val="24"/>
          <w:lang w:val="en-US" w:eastAsia="zh-CN"/>
        </w:rPr>
        <w:t xml:space="preserve">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881"/>
        <w:rPr>
          <w:rFonts w:hint="eastAsia"/>
          <w:lang w:val="en-US" w:eastAsia="zh-CN"/>
        </w:rPr>
      </w:pPr>
      <w:r>
        <w:rPr>
          <w:rFonts w:hint="eastAsia"/>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869"/>
        <w:ind w:firstLine="560"/>
        <w:keepLines w:val="0"/>
        <w:keepNext w:val="0"/>
        <w:pageBreakBefore w:val="0"/>
        <w:spacing w:line="264" w:lineRule="auto"/>
        <w:widowControl w:val="off"/>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附件</w:t>
      </w:r>
      <w:r>
        <w:rPr>
          <w:rFonts w:hint="eastAsia" w:ascii="黑体" w:hAnsi="黑体" w:eastAsia="黑体" w:cs="黑体"/>
          <w:color w:val="000000"/>
          <w:sz w:val="28"/>
          <w:szCs w:val="28"/>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eastAsia="宋体"/>
          <w:lang w:eastAsia="zh-CN"/>
        </w:rPr>
        <mc:AlternateContent>
          <mc:Choice Requires="wpg">
            <w:drawing>
              <wp:inline xmlns:wp="http://schemas.openxmlformats.org/drawingml/2006/wordprocessingDrawing" distT="0" distB="0" distL="0" distR="0">
                <wp:extent cx="3796716" cy="31503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796716" cy="3150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99.0pt;height:248.1pt;mso-wrap-distance-left:0.0pt;mso-wrap-distance-top:0.0pt;mso-wrap-distance-right:0.0pt;mso-wrap-distance-bottom:0.0pt;" stroked="f">
                <v:path textboxrect="0,0,0,0"/>
                <v:imagedata r:id="rId12" o:title=""/>
              </v:shape>
            </w:pict>
          </mc:Fallback>
        </mc:AlternateContent>
      </w:r>
      <w:r>
        <w:rPr>
          <w:rFonts w:ascii="宋体" w:hAnsi="宋体" w:eastAsia="宋体" w:cs="宋体"/>
          <w:b w:val="0"/>
          <w:bCs w:val="0"/>
          <w:color w:val="0000ff"/>
          <w:sz w:val="24"/>
          <w:szCs w:val="24"/>
          <w:highlight w:val="none"/>
          <w:u w:val="none"/>
          <w:lang w:val="en-US" w:eastAsia="zh-CN"/>
        </w:rPr>
        <mc:AlternateContent>
          <mc:Choice Requires="wpg">
            <w:drawing>
              <wp:inline xmlns:wp="http://schemas.openxmlformats.org/drawingml/2006/wordprocessingDrawing" distT="0" distB="0" distL="0" distR="0">
                <wp:extent cx="1698511" cy="317741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698511" cy="31774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3.7pt;height:250.2pt;mso-wrap-distance-left:0.0pt;mso-wrap-distance-top:0.0pt;mso-wrap-distance-right:0.0pt;mso-wrap-distance-bottom:0.0pt;" stroked="f">
                <v:path textboxrect="0,0,0,0"/>
                <v:imagedata r:id="rId13" o:title=""/>
              </v:shape>
            </w:pict>
          </mc:Fallback>
        </mc:AlternateContent>
      </w: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w:t>
      </w:r>
      <w:r>
        <w:rPr>
          <w:rFonts w:hint="eastAsia" w:ascii="宋体" w:hAnsi="宋体" w:eastAsia="宋体" w:cs="宋体"/>
          <w:sz w:val="24"/>
          <w:szCs w:val="24"/>
          <w:lang w:eastAsia="zh-CN"/>
        </w:rPr>
        <w:t xml:space="preserve">后得分由高到低顺序排列。得分相同的，按投标报价由低到高顺序排列。得分且投标报价相同的，按“评标标准</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技术</w:t>
      </w:r>
      <w:r>
        <w:rPr>
          <w:rFonts w:hint="eastAsia" w:ascii="宋体" w:hAnsi="宋体" w:eastAsia="宋体" w:cs="宋体"/>
          <w:sz w:val="24"/>
          <w:szCs w:val="24"/>
          <w:lang w:eastAsia="zh-CN"/>
        </w:rPr>
        <w:t xml:space="preserve">项”得分由高到低顺序排列。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由高到低推荐3</w:t>
      </w:r>
      <w:r>
        <w:rPr>
          <w:rFonts w:hint="eastAsia" w:ascii="宋体" w:hAnsi="宋体" w:eastAsia="宋体" w:cs="宋体"/>
          <w:sz w:val="24"/>
          <w:szCs w:val="24"/>
          <w:lang w:eastAsia="zh-CN"/>
        </w:rPr>
        <w:t xml:space="preserve">名中标候选人。</w:t>
      </w:r>
      <w:r>
        <w:rPr>
          <w:rFonts w:hint="eastAsia" w:ascii="宋体" w:hAnsi="宋体" w:eastAsia="宋体" w:cs="宋体"/>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69"/>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9"/>
        <w:ind w:firstLine="420"/>
        <w:spacing w:line="240" w:lineRule="auto"/>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1.本</w:t>
      </w:r>
      <w:r>
        <w:rPr>
          <w:rFonts w:hint="eastAsia" w:ascii="宋体" w:hAnsi="宋体" w:eastAsia="宋体" w:cs="Times New Roman"/>
          <w:sz w:val="24"/>
          <w:szCs w:val="24"/>
        </w:rPr>
        <w:t xml:space="preserve">项目如</w:t>
      </w:r>
      <w:r>
        <w:rPr>
          <w:rFonts w:hint="eastAsia" w:ascii="宋体" w:hAnsi="宋体" w:eastAsia="宋体" w:cs="Times New Roman"/>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sz w:val="24"/>
          <w:szCs w:val="24"/>
          <w:lang w:val="zh-CN"/>
        </w:rPr>
      </w:r>
      <w:r/>
    </w:p>
    <w:p>
      <w:pPr>
        <w:pStyle w:val="869"/>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sz w:val="24"/>
          <w:szCs w:val="24"/>
          <w:lang w:val="en-US"/>
        </w:rPr>
        <w:t xml:space="preserve">20%</w:t>
      </w:r>
      <w:r>
        <w:rPr>
          <w:rFonts w:hint="eastAsia" w:ascii="宋体" w:hAnsi="宋体" w:eastAsia="宋体" w:cs="Times New Roman"/>
          <w:sz w:val="24"/>
          <w:szCs w:val="24"/>
        </w:rPr>
        <w:t xml:space="preserve">的价格扣除，用扣除后的价格参与评审。</w:t>
      </w:r>
      <w:r>
        <w:rPr>
          <w:rFonts w:hint="eastAsia" w:ascii="宋体" w:hAnsi="宋体" w:eastAsia="宋体" w:cs="Times New Roman"/>
          <w:sz w:val="24"/>
          <w:szCs w:val="24"/>
        </w:rPr>
      </w:r>
      <w:r/>
    </w:p>
    <w:p>
      <w:pPr>
        <w:pStyle w:val="869"/>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sz w:val="24"/>
          <w:szCs w:val="24"/>
          <w:lang w:val="en-US"/>
        </w:rPr>
        <w:t xml:space="preserve">80%</w:t>
      </w:r>
      <w:r>
        <w:rPr>
          <w:rFonts w:hint="eastAsia" w:ascii="宋体" w:hAnsi="宋体" w:eastAsia="宋体" w:cs="Times New Roman"/>
          <w:sz w:val="24"/>
          <w:szCs w:val="24"/>
        </w:rPr>
        <w:t xml:space="preserve">以上时，且供应商在投标（响应）文件中对此作出承诺的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按照采购文件要求在《投标分项报价表》中作出承诺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，则依法对该供应商提供的全部产品给予价格评审优惠，即对该供应商提供的全部产品的总报价给予</w:t>
      </w:r>
      <w:r>
        <w:rPr>
          <w:rFonts w:hint="eastAsia" w:ascii="宋体" w:hAnsi="宋体" w:eastAsia="宋体" w:cs="Times New Roman"/>
          <w:sz w:val="24"/>
          <w:szCs w:val="24"/>
          <w:lang w:val="en-US"/>
        </w:rPr>
        <w:t xml:space="preserve">20%</w:t>
      </w:r>
      <w:r>
        <w:rPr>
          <w:rFonts w:hint="eastAsia" w:ascii="宋体" w:hAnsi="宋体" w:eastAsia="宋体" w:cs="Times New Roman"/>
          <w:sz w:val="24"/>
          <w:szCs w:val="24"/>
        </w:rPr>
        <w:t xml:space="preserve">的价格扣除，用扣除后的价格参与评审。全部产品是指货物或服务采购项目或采购包中包含的全部货物、服务产品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r>
      <w:r/>
    </w:p>
    <w:p>
      <w:pPr>
        <w:pStyle w:val="869"/>
        <w:ind w:firstLine="420"/>
        <w:spacing w:line="240" w:lineRule="auto"/>
        <w:rPr>
          <w:rFonts w:hint="eastAsia" w:ascii="宋体" w:hAnsi="宋体" w:eastAsia="宋体" w:cs="Times New Roman"/>
          <w:sz w:val="24"/>
          <w:szCs w:val="24"/>
        </w:rPr>
      </w:pPr>
      <w:r>
        <w:rPr>
          <w:rFonts w:hint="eastAsia" w:ascii="宋体" w:hAnsi="宋体" w:eastAsia="宋体" w:cs="Times New Roman"/>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eastAsia="宋体" w:cs="Times New Roman"/>
          <w:sz w:val="24"/>
          <w:szCs w:val="24"/>
        </w:rPr>
      </w:r>
      <w:r/>
    </w:p>
    <w:p>
      <w:pPr>
        <w:pStyle w:val="869"/>
        <w:ind w:firstLine="422"/>
        <w:spacing w:line="240" w:lineRule="auto"/>
        <w:widowControl/>
        <w:rPr>
          <w:rFonts w:hint="eastAsia" w:ascii="宋体" w:hAnsi="宋体" w:cs="宋体"/>
          <w:b/>
          <w:bCs/>
          <w:color w:val="0000ff"/>
          <w:sz w:val="24"/>
          <w:szCs w:val="24"/>
        </w:rPr>
      </w:pPr>
      <w:r>
        <w:rPr>
          <w:rFonts w:hint="eastAsia" w:ascii="宋体" w:hAnsi="宋体"/>
          <w:b/>
          <w:bCs/>
          <w:sz w:val="24"/>
          <w:szCs w:val="24"/>
          <w:lang w:val="en-US" w:eastAsia="zh-CN"/>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sz w:val="24"/>
          <w:szCs w:val="24"/>
        </w:rPr>
        <w:t xml:space="preserve">予10%的扣除，用扣除后的价格参与评审。</w:t>
      </w:r>
      <w:r>
        <w:rPr>
          <w:rFonts w:hint="eastAsia" w:ascii="宋体" w:hAnsi="宋体" w:eastAsia="宋体" w:cs="宋体"/>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eastAsia="宋体" w:cs="宋体"/>
          <w:sz w:val="24"/>
          <w:szCs w:val="24"/>
          <w:lang w:val="en-US" w:eastAsia="zh-CN"/>
        </w:rPr>
        <w:t xml:space="preserve">与小微企业相同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eastAsia="宋体" w:cs="宋体"/>
          <w:sz w:val="24"/>
          <w:szCs w:val="24"/>
          <w:lang w:val="en-US" w:eastAsia="zh-CN"/>
        </w:rPr>
        <w:t xml:space="preserve">与小微企业相同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w:t>
      </w:r>
      <w:r>
        <w:rPr>
          <w:rFonts w:hint="eastAsia" w:ascii="宋体" w:hAnsi="宋体" w:eastAsia="宋体" w:cs="宋体"/>
          <w:sz w:val="24"/>
          <w:szCs w:val="24"/>
        </w:rPr>
        <w:t xml:space="preserve">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sz w:val="24"/>
          <w:szCs w:val="24"/>
          <w:lang w:eastAsia="zh-CN"/>
        </w:rPr>
      </w:pPr>
      <w:r>
        <w:rPr>
          <w:rFonts w:hint="eastAsia" w:ascii="黑体" w:hAnsi="黑体" w:eastAsia="黑体" w:cs="黑体"/>
          <w:color w:val="000000"/>
          <w:sz w:val="24"/>
          <w:szCs w:val="24"/>
          <w:lang w:val="en-US" w:eastAsia="zh-CN"/>
        </w:rPr>
        <w:t xml:space="preserve">四、</w:t>
      </w:r>
      <w:r>
        <w:rPr>
          <w:rFonts w:hint="eastAsia" w:ascii="黑体" w:hAnsi="黑体" w:eastAsia="黑体" w:cs="黑体"/>
          <w:b w:val="0"/>
          <w:bCs w:val="0"/>
          <w:color w:val="000000"/>
          <w:sz w:val="24"/>
          <w:szCs w:val="24"/>
          <w:highlight w:val="none"/>
          <w:lang w:eastAsia="zh-CN"/>
        </w:rPr>
        <w:t xml:space="preserve">评标标准</w:t>
      </w:r>
      <w:r>
        <w:rPr>
          <w:rFonts w:hint="eastAsia"/>
          <w:sz w:val="24"/>
          <w:szCs w:val="24"/>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序号</w:t>
            </w:r>
            <w:r>
              <w:rPr>
                <w:rFonts w:ascii="宋体" w:hAnsi="宋体" w:eastAsia="宋体" w:cs="宋体"/>
                <w:b/>
                <w:bCs/>
                <w:color w:val="000000"/>
                <w:spacing w:val="-3"/>
                <w:sz w:val="24"/>
                <w:szCs w:val="24"/>
              </w:rPr>
            </w:r>
            <w:r/>
          </w:p>
        </w:tc>
        <w:tc>
          <w:tcPr>
            <w:tcW w:w="1179"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评审因素</w:t>
            </w:r>
            <w:r>
              <w:rPr>
                <w:rFonts w:ascii="宋体" w:hAnsi="宋体" w:eastAsia="宋体" w:cs="宋体"/>
                <w:b/>
                <w:bCs/>
                <w:color w:val="000000"/>
                <w:spacing w:val="-3"/>
                <w:sz w:val="24"/>
                <w:szCs w:val="24"/>
              </w:rPr>
            </w:r>
            <w:r/>
          </w:p>
        </w:tc>
        <w:tc>
          <w:tcPr>
            <w:tcW w:w="633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评审细则</w:t>
            </w:r>
            <w:r>
              <w:rPr>
                <w:rFonts w:ascii="宋体" w:hAnsi="宋体" w:eastAsia="宋体" w:cs="宋体"/>
                <w:b/>
                <w:bCs/>
                <w:color w:val="000000"/>
                <w:spacing w:val="-3"/>
                <w:sz w:val="24"/>
                <w:szCs w:val="24"/>
              </w:rPr>
            </w:r>
            <w:r/>
          </w:p>
        </w:tc>
        <w:tc>
          <w:tcPr>
            <w:tcW w:w="647"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分值</w:t>
            </w:r>
            <w:r>
              <w:rPr>
                <w:rFonts w:ascii="宋体" w:hAnsi="宋体" w:eastAsia="宋体" w:cs="宋体"/>
                <w:b/>
                <w:bCs/>
                <w:color w:val="000000"/>
                <w:spacing w:val="-3"/>
                <w:sz w:val="24"/>
                <w:szCs w:val="24"/>
              </w:rPr>
            </w:r>
            <w:r/>
          </w:p>
        </w:tc>
        <w:tc>
          <w:tcPr>
            <w:tcW w:w="900" w:type="dxa"/>
            <w:vAlign w:val="center"/>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4"/>
                <w:szCs w:val="24"/>
              </w:rPr>
            </w:pPr>
            <w:r>
              <w:rPr>
                <w:rFonts w:ascii="宋体" w:hAnsi="宋体" w:eastAsia="宋体" w:cs="宋体"/>
                <w:b/>
                <w:bCs/>
                <w:color w:val="000000"/>
                <w:spacing w:val="-3"/>
                <w:sz w:val="24"/>
                <w:szCs w:val="24"/>
              </w:rPr>
              <w:t xml:space="preserve">类型</w:t>
            </w:r>
            <w:r>
              <w:rPr>
                <w:rFonts w:ascii="宋体" w:hAnsi="宋体" w:eastAsia="宋体" w:cs="宋体"/>
                <w:b/>
                <w:bCs/>
                <w:color w:val="000000"/>
                <w:spacing w:val="-3"/>
                <w:sz w:val="24"/>
                <w:szCs w:val="24"/>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1.</w:t>
            </w:r>
            <w:r>
              <w:rPr>
                <w:rFonts w:hint="eastAsia" w:ascii="宋体" w:hAnsi="宋体" w:eastAsia="宋体" w:cs="宋体"/>
                <w:b/>
                <w:bCs/>
                <w:color w:val="000000"/>
                <w:spacing w:val="-3"/>
                <w:sz w:val="24"/>
                <w:szCs w:val="24"/>
              </w:rPr>
              <w:t xml:space="preserve">价</w:t>
            </w:r>
            <w:r>
              <w:rPr>
                <w:rFonts w:hint="eastAsia" w:ascii="宋体" w:hAnsi="宋体" w:eastAsia="宋体" w:cs="宋体"/>
                <w:b/>
                <w:bCs/>
                <w:color w:val="000000"/>
                <w:spacing w:val="-2"/>
                <w:sz w:val="24"/>
                <w:szCs w:val="24"/>
              </w:rPr>
              <w:t xml:space="preserve">格</w:t>
            </w:r>
            <w:r>
              <w:rPr>
                <w:rFonts w:hint="eastAsia" w:ascii="宋体" w:hAnsi="宋体" w:eastAsia="宋体" w:cs="宋体"/>
                <w:color w:val="000000"/>
                <w:sz w:val="24"/>
                <w:szCs w:val="24"/>
              </w:rPr>
            </w:r>
            <w:r/>
          </w:p>
        </w:tc>
      </w:tr>
      <w:tr>
        <w:trPr>
          <w:trHeight w:val="1030"/>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6"/>
                <w:sz w:val="24"/>
                <w:szCs w:val="24"/>
              </w:rPr>
              <w:t xml:space="preserve">1</w:t>
            </w:r>
            <w:r>
              <w:rPr>
                <w:rFonts w:hint="eastAsia" w:ascii="宋体" w:hAnsi="宋体" w:eastAsia="宋体" w:cs="宋体"/>
                <w:color w:val="000000"/>
                <w:spacing w:val="-5"/>
                <w:sz w:val="24"/>
                <w:szCs w:val="24"/>
              </w:rPr>
              <w:t xml:space="preserve">.1</w:t>
            </w:r>
            <w:r>
              <w:rPr>
                <w:rFonts w:hint="eastAsia" w:ascii="宋体" w:hAnsi="宋体" w:eastAsia="宋体" w:cs="宋体"/>
                <w:color w:val="000000"/>
                <w:sz w:val="24"/>
                <w:szCs w:val="24"/>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2"/>
                <w:sz w:val="24"/>
                <w:szCs w:val="24"/>
              </w:rPr>
              <w:t xml:space="preserve">价格分</w:t>
            </w:r>
            <w:r>
              <w:rPr>
                <w:rFonts w:hint="eastAsia" w:ascii="宋体" w:hAnsi="宋体" w:eastAsia="宋体" w:cs="宋体"/>
                <w:color w:val="000000"/>
                <w:sz w:val="24"/>
                <w:szCs w:val="24"/>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pacing w:val="1"/>
                <w:sz w:val="24"/>
                <w:szCs w:val="24"/>
              </w:rPr>
              <w:t xml:space="preserve">采用低价优先</w:t>
            </w:r>
            <w:r>
              <w:rPr>
                <w:rFonts w:hint="eastAsia" w:ascii="宋体" w:hAnsi="宋体" w:eastAsia="宋体" w:cs="宋体"/>
                <w:color w:val="000000"/>
                <w:sz w:val="24"/>
                <w:szCs w:val="24"/>
              </w:rPr>
              <w:t xml:space="preserve">法计算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即满足招标文件要求且投标价格最低的投标</w:t>
            </w:r>
            <w:r>
              <w:rPr>
                <w:rFonts w:hint="eastAsia" w:ascii="宋体" w:hAnsi="宋体" w:eastAsia="宋体" w:cs="宋体"/>
                <w:color w:val="000000"/>
                <w:spacing w:val="1"/>
                <w:sz w:val="24"/>
                <w:szCs w:val="24"/>
              </w:rPr>
              <w:t xml:space="preserve">报价为评标基准</w:t>
            </w:r>
            <w:r>
              <w:rPr>
                <w:rFonts w:hint="eastAsia" w:ascii="宋体" w:hAnsi="宋体" w:eastAsia="宋体" w:cs="宋体"/>
                <w:color w:val="000000"/>
                <w:sz w:val="24"/>
                <w:szCs w:val="24"/>
              </w:rPr>
              <w:t xml:space="preserve">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其价格分为满分。其他投标人的价格分统一按</w:t>
            </w:r>
            <w:r>
              <w:rPr>
                <w:rFonts w:hint="eastAsia" w:ascii="宋体" w:hAnsi="宋体" w:eastAsia="宋体" w:cs="宋体"/>
                <w:color w:val="000000"/>
                <w:spacing w:val="-1"/>
                <w:sz w:val="24"/>
                <w:szCs w:val="24"/>
              </w:rPr>
              <w:t xml:space="preserve">照下列公</w:t>
            </w:r>
            <w:r>
              <w:rPr>
                <w:rFonts w:hint="eastAsia" w:ascii="宋体" w:hAnsi="宋体" w:eastAsia="宋体" w:cs="宋体"/>
                <w:color w:val="000000"/>
                <w:sz w:val="24"/>
                <w:szCs w:val="24"/>
              </w:rPr>
              <w:t xml:space="preserve">式计算：投标报价得分=(评标基准价/投标报价)×</w:t>
            </w:r>
            <w:r>
              <w:rPr>
                <w:rFonts w:hint="eastAsia" w:ascii="宋体" w:hAnsi="宋体" w:eastAsia="宋体" w:cs="宋体"/>
                <w:color w:val="000000"/>
                <w:sz w:val="24"/>
                <w:szCs w:val="24"/>
                <w:lang w:val="en-US" w:eastAsia="zh-CN"/>
              </w:rPr>
              <w:t xml:space="preserve">价格分值（小数点保留两位）</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30</w:t>
            </w:r>
            <w:r>
              <w:rPr>
                <w:rFonts w:ascii="宋体" w:hAnsi="宋体" w:eastAsia="宋体" w:cs="宋体"/>
                <w:color w:val="000000"/>
                <w:sz w:val="24"/>
                <w:szCs w:val="24"/>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价格分</w:t>
            </w:r>
            <w:r>
              <w:rPr>
                <w:rFonts w:hint="eastAsia" w:ascii="宋体" w:hAnsi="宋体" w:eastAsia="宋体" w:cs="宋体"/>
                <w:color w:val="000000"/>
                <w:sz w:val="24"/>
                <w:szCs w:val="24"/>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2.技术</w:t>
            </w:r>
            <w:r>
              <w:rPr>
                <w:rFonts w:hint="eastAsia" w:ascii="宋体" w:hAnsi="宋体" w:eastAsia="宋体" w:cs="宋体"/>
                <w:color w:val="000000"/>
                <w:sz w:val="24"/>
                <w:szCs w:val="24"/>
              </w:rPr>
            </w:r>
            <w:r/>
          </w:p>
        </w:tc>
      </w:tr>
      <w:tr>
        <w:trPr>
          <w:trHeight w:val="891"/>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t xml:space="preserve">2.1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val="en-US" w:eastAsia="zh-CN"/>
              </w:rPr>
              <w:t xml:space="preserve">产品技术参数</w:t>
            </w:r>
            <w:r>
              <w:rPr>
                <w:rFonts w:hint="eastAsia" w:ascii="宋体" w:hAnsi="宋体" w:eastAsia="宋体" w:cs="宋体"/>
                <w:color w:val="000000"/>
                <w:spacing w:val="-2"/>
                <w:sz w:val="24"/>
                <w:szCs w:val="24"/>
                <w:lang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产品技术参数全部满足招标要求的得满分，打★指标为必须满足项，如有负偏离将作为无效投标，打▲指标为重要指标，有1项负偏离扣1分，其余指标有1项负偏离扣0.2分。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lang w:eastAsia="zh-CN"/>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2.3</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2"/>
                <w:sz w:val="24"/>
                <w:szCs w:val="24"/>
                <w:lang w:val="en-US" w:eastAsia="zh-CN"/>
              </w:rPr>
              <w:t xml:space="preserve">检测报告</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投标人提供所投电梯产品检测报告（型式试验报告），检测（试验）内容如下：</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（1）曳引机（或主机或马达或驱动器）制动器，无故障实验动作次数（或运行次数）≥2000万次，得3分；1500万次≤无故障实验动作次数（或运行次数）＜2000万次，得1分；其余不得分。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（2）光幕：接收管数目≥40对且光束≥230束；防护等级≥IP65；抗太阳光能力≥100000LUX，每满足一项得1分，最多得3分。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（3）信号系统按钮试验次数(需满足10N(含)及以上按压力，1.5HZ(含)及以上按压频率)：1000万次（含）及以上得3分；500万次（含）-1000万次（不含）得1分；其余不得分。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（4）电梯控制柜在满足TSG T7007-2022试验依据条件下，供电电压在三相AC380V的基础上，电压波动±15%试验符合要求得1分；其余不得分。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（5）门机使用寿命次数：1500万次（含）及以上得3分；1500万次（不含）-1000万次（不含）得1分；其余不得分。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rPr>
                <w:rFonts w:ascii="宋体" w:hAnsi="宋体" w:eastAsia="宋体" w:cs="宋体"/>
                <w:color w:val="000000"/>
                <w:sz w:val="24"/>
                <w:szCs w:val="24"/>
                <w:lang w:val="en-US" w:eastAsia="zh-CN"/>
              </w:rPr>
              <w:t xml:space="preserve">曳引机、控制柜、门机、安全钳、限速器、缓冲器、轿厢上行超速保护装置、轿厢意外移动保护装置、绳头组合为原厂原品牌的得</w:t>
            </w: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分，少一个扣</w:t>
            </w:r>
            <w:r>
              <w:rPr>
                <w:rFonts w:hint="eastAsia" w:ascii="宋体" w:hAnsi="宋体" w:eastAsia="宋体" w:cs="宋体"/>
                <w:color w:val="000000"/>
                <w:sz w:val="24"/>
                <w:szCs w:val="24"/>
                <w:lang w:val="en-US" w:eastAsia="zh-CN"/>
              </w:rPr>
              <w:t xml:space="preserve">0.5</w:t>
            </w:r>
            <w:r>
              <w:rPr>
                <w:rFonts w:ascii="宋体" w:hAnsi="宋体" w:eastAsia="宋体" w:cs="宋体"/>
                <w:color w:val="000000"/>
                <w:sz w:val="24"/>
                <w:szCs w:val="24"/>
                <w:lang w:val="en-US" w:eastAsia="zh-CN"/>
              </w:rPr>
              <w:t xml:space="preserve">分，扣完为止。</w:t>
            </w:r>
            <w:r>
              <w:rPr>
                <w:rFonts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（7）物联网等级：</w:t>
            </w:r>
            <w:r>
              <w:rPr>
                <w:rFonts w:ascii="宋体" w:hAnsi="宋体" w:eastAsia="宋体" w:cs="宋体"/>
                <w:color w:val="000000"/>
                <w:sz w:val="24"/>
                <w:szCs w:val="24"/>
                <w:lang w:val="en-US" w:eastAsia="zh-CN"/>
              </w:rPr>
              <w:t xml:space="preserve">所投电梯品牌</w:t>
            </w:r>
            <w:r>
              <w:rPr>
                <w:rFonts w:hint="eastAsia" w:ascii="宋体" w:hAnsi="宋体" w:eastAsia="宋体" w:cs="宋体"/>
                <w:color w:val="000000"/>
                <w:sz w:val="24"/>
                <w:szCs w:val="24"/>
                <w:lang w:val="en-US" w:eastAsia="zh-CN"/>
              </w:rPr>
              <w:t xml:space="preserve">获得物联网系统安全等级3级得3分；安全等级2级得2分；1级的得1分；其余或未提供的不得分。</w:t>
            </w:r>
            <w:r>
              <w:rPr>
                <w:rFonts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所提供检测报告（型式试验报告）中“产品名称和检测（试验）内容”与评分细则规定不同时，应提供符合上述要求的内容（功能）说明及关键信息，否则不予认可。为方便评委评审，功能参数可用箭头、标红或下划线等进行明显标注。</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（2）上述涉及标准中未标年号的一律采用最新的标准；随着标准的修订，以修订后的最新标准为依据。除上述规范标准以外，须遵循国家、行业及地方现行的规范和标准要求。</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rPr>
              <w:t xml:space="preserve">19</w:t>
            </w:r>
            <w:r>
              <w:rPr>
                <w:rFonts w:hint="eastAsia" w:ascii="宋体" w:hAnsi="宋体" w:eastAsia="宋体" w:cs="宋体"/>
                <w:color w:val="000000"/>
                <w:sz w:val="24"/>
                <w:szCs w:val="24"/>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6"/>
                <w:sz w:val="24"/>
                <w:szCs w:val="24"/>
                <w:lang w:eastAsia="zh-CN"/>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b/>
                <w:bCs/>
                <w:color w:val="000000"/>
                <w:spacing w:val="-3"/>
                <w:sz w:val="24"/>
                <w:szCs w:val="24"/>
                <w:lang w:val="en-US" w:eastAsia="zh-CN"/>
              </w:rPr>
              <w:t xml:space="preserve">3.服务</w:t>
            </w:r>
            <w:r>
              <w:rPr>
                <w:rFonts w:hint="eastAsia" w:ascii="宋体" w:hAnsi="宋体" w:eastAsia="宋体" w:cs="宋体"/>
                <w:color w:val="000000"/>
                <w:sz w:val="24"/>
                <w:szCs w:val="24"/>
                <w:lang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bidi="ar-SA"/>
              </w:rPr>
              <w:t xml:space="preserve">3.1</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深化设计方案</w:t>
            </w:r>
            <w:r>
              <w:rPr>
                <w:rFonts w:hint="eastAsia" w:ascii="宋体" w:hAnsi="宋体" w:eastAsia="宋体" w:cs="宋体"/>
                <w:color w:val="000000"/>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投标人</w:t>
            </w:r>
            <w:r>
              <w:rPr>
                <w:rFonts w:hint="eastAsia" w:ascii="宋体" w:hAnsi="宋体" w:eastAsia="宋体" w:cs="宋体"/>
                <w:color w:val="000000"/>
                <w:sz w:val="24"/>
                <w:szCs w:val="24"/>
                <w:lang w:val="en-US" w:eastAsia="zh-CN"/>
              </w:rPr>
              <w:t xml:space="preserve">根据本项目采购需求及基础图纸等资料编制深化设计方案，内容包含</w:t>
            </w:r>
            <w:r>
              <w:rPr>
                <w:rFonts w:hint="eastAsia" w:ascii="宋体" w:hAnsi="宋体" w:eastAsia="宋体" w:cs="宋体"/>
                <w:color w:val="000000"/>
                <w:sz w:val="24"/>
                <w:szCs w:val="24"/>
                <w:lang w:val="zh-CN" w:eastAsia="zh-CN"/>
              </w:rPr>
              <w:t xml:space="preserve">：1.井道及土建接口深化设计；2.非标部件与特殊工艺设计；3.电梯装饰与装潢深化设计。以上每项内容逐条阐述。</w:t>
            </w:r>
            <w:r>
              <w:rPr>
                <w:rFonts w:hint="eastAsia" w:ascii="宋体" w:hAnsi="宋体" w:eastAsia="宋体" w:cs="宋体"/>
                <w:color w:val="000000"/>
                <w:sz w:val="24"/>
                <w:szCs w:val="24"/>
                <w:lang w:val="en-US" w:eastAsia="zh-CN"/>
              </w:rPr>
              <w:t xml:space="preserve">评委根据投标方案对每项内容响应情况，逐条评分。</w:t>
            </w:r>
            <w:r>
              <w:rPr>
                <w:rFonts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方案内容</w:t>
            </w:r>
            <w:r>
              <w:rPr>
                <w:rFonts w:hint="eastAsia" w:ascii="宋体" w:hAnsi="宋体" w:eastAsia="宋体" w:cs="宋体"/>
                <w:color w:val="000000"/>
                <w:sz w:val="24"/>
                <w:szCs w:val="24"/>
                <w:lang w:val="zh-CN" w:eastAsia="zh-CN"/>
              </w:rPr>
              <w:t xml:space="preserve">完整、科学合理</w:t>
            </w:r>
            <w:r>
              <w:rPr>
                <w:rFonts w:hint="eastAsia" w:ascii="宋体" w:hAnsi="宋体" w:eastAsia="宋体" w:cs="宋体"/>
                <w:color w:val="000000"/>
                <w:sz w:val="24"/>
                <w:szCs w:val="24"/>
                <w:lang w:val="en-US"/>
              </w:rPr>
              <w:t xml:space="preserve">，且专门针对本项目，</w:t>
            </w:r>
            <w:r>
              <w:rPr>
                <w:rFonts w:hint="eastAsia" w:ascii="宋体" w:hAnsi="宋体" w:eastAsia="宋体" w:cs="宋体"/>
                <w:color w:val="000000"/>
                <w:sz w:val="24"/>
                <w:szCs w:val="24"/>
                <w:lang w:val="en-US" w:eastAsia="zh-CN"/>
              </w:rPr>
              <w:t xml:space="preserve">契合</w:t>
            </w:r>
            <w:r>
              <w:rPr>
                <w:rFonts w:hint="eastAsia" w:ascii="宋体" w:hAnsi="宋体" w:eastAsia="宋体" w:cs="宋体"/>
                <w:color w:val="000000"/>
                <w:sz w:val="24"/>
                <w:szCs w:val="24"/>
                <w:lang w:val="en-US"/>
              </w:rPr>
              <w:t xml:space="preserve">采购需求视为符合；方案内容属于通用类，非专门针对本项目，部分</w:t>
            </w:r>
            <w:r>
              <w:rPr>
                <w:rFonts w:hint="eastAsia" w:ascii="宋体" w:hAnsi="宋体" w:eastAsia="宋体" w:cs="宋体"/>
                <w:color w:val="000000"/>
                <w:sz w:val="24"/>
                <w:szCs w:val="24"/>
                <w:lang w:val="en-US" w:eastAsia="zh-CN"/>
              </w:rPr>
              <w:t xml:space="preserve">契合采购需求</w:t>
            </w:r>
            <w:r>
              <w:rPr>
                <w:rFonts w:hint="eastAsia" w:ascii="宋体" w:hAnsi="宋体" w:eastAsia="宋体" w:cs="宋体"/>
                <w:color w:val="000000"/>
                <w:sz w:val="24"/>
                <w:szCs w:val="24"/>
                <w:lang w:val="en-US"/>
              </w:rPr>
              <w:t xml:space="preserve">视为部分符合；方案内容非专门针对本项目</w:t>
            </w:r>
            <w:r>
              <w:rPr>
                <w:rFonts w:hint="eastAsia" w:ascii="宋体" w:hAnsi="宋体" w:eastAsia="宋体" w:cs="宋体"/>
                <w:color w:val="000000"/>
                <w:sz w:val="24"/>
                <w:szCs w:val="24"/>
                <w:lang w:val="en-US" w:eastAsia="zh-CN"/>
              </w:rPr>
              <w:t xml:space="preserve">，脱离</w:t>
            </w:r>
            <w:r>
              <w:rPr>
                <w:rFonts w:hint="eastAsia" w:ascii="宋体" w:hAnsi="宋体" w:eastAsia="宋体" w:cs="宋体"/>
                <w:color w:val="000000"/>
                <w:sz w:val="24"/>
                <w:szCs w:val="24"/>
                <w:lang w:val="en-US"/>
              </w:rPr>
              <w:t xml:space="preserve">采购需求视为不符合。</w:t>
            </w:r>
            <w:r>
              <w:rPr>
                <w:rFonts w:hint="eastAsia" w:ascii="宋体" w:hAnsi="宋体" w:eastAsia="宋体" w:cs="宋体"/>
                <w:color w:val="000000"/>
                <w:sz w:val="24"/>
                <w:szCs w:val="24"/>
                <w:lang w:val="en-US"/>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上述每项内容符合得2分；部分符合得1分；不符合或不提供不得分。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spacing w:before="68" w:line="264" w:lineRule="auto"/>
              <w:rPr>
                <w:rFonts w:ascii="Arial" w:hAnsi="Arial" w:cs="Arial"/>
                <w:color w:val="000000"/>
                <w:sz w:val="24"/>
                <w:szCs w:val="24"/>
              </w:rPr>
            </w:pPr>
            <w:r>
              <w:rPr>
                <w:rFonts w:hint="eastAsia" w:ascii="宋体" w:hAnsi="宋体" w:eastAsia="宋体" w:cs="宋体"/>
                <w:color w:val="000000"/>
                <w:spacing w:val="0"/>
                <w:sz w:val="24"/>
                <w:szCs w:val="24"/>
                <w:highlight w:val="none"/>
                <w:lang w:val="en-US" w:eastAsia="zh-CN" w:bidi="ar-SA"/>
              </w:rPr>
              <w:t xml:space="preserve">6</w:t>
            </w:r>
            <w:r>
              <w:rPr>
                <w:rFonts w:ascii="Arial" w:hAnsi="Arial" w:cs="Arial"/>
                <w:color w:val="000000"/>
                <w:sz w:val="24"/>
                <w:szCs w:val="24"/>
              </w:rPr>
            </w:r>
            <w:r/>
          </w:p>
        </w:tc>
        <w:tc>
          <w:tcPr>
            <w:tcW w:w="900" w:type="dxa"/>
            <w:vAlign w:val="center"/>
            <w:textDirection w:val="lrTb"/>
            <w:noWrap w:val="false"/>
          </w:tcPr>
          <w:p>
            <w:pPr>
              <w:pStyle w:val="869"/>
              <w:jc w:val="center"/>
              <w:spacing w:before="68" w:line="264" w:lineRule="auto"/>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主观分</w:t>
            </w:r>
            <w:r>
              <w:rPr>
                <w:rFonts w:hint="eastAsia" w:ascii="宋体" w:hAnsi="宋体" w:eastAsia="宋体" w:cs="宋体"/>
                <w:color w:val="000000"/>
                <w:spacing w:val="-6"/>
                <w:sz w:val="24"/>
                <w:szCs w:val="24"/>
                <w:lang w:val="en-US" w:eastAsia="zh-CN"/>
              </w:rPr>
            </w:r>
            <w:r/>
          </w:p>
        </w:tc>
      </w:tr>
      <w:tr>
        <w:trPr>
          <w:trHeight w:val="10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3.2</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ascii="宋体" w:hAnsi="宋体" w:eastAsia="宋体" w:cs="宋体"/>
                <w:color w:val="000000"/>
                <w:spacing w:val="0"/>
                <w:sz w:val="24"/>
                <w:szCs w:val="24"/>
                <w:highlight w:val="none"/>
                <w:lang w:val="en-US" w:eastAsia="zh-CN"/>
              </w:rPr>
              <w:t xml:space="preserve">实施方案</w:t>
            </w:r>
            <w:r>
              <w:rPr>
                <w:rFonts w:hint="eastAsia" w:ascii="宋体" w:hAnsi="宋体" w:eastAsia="宋体" w:cs="宋体"/>
                <w:color w:val="000000"/>
                <w:spacing w:val="-2"/>
                <w:sz w:val="24"/>
                <w:szCs w:val="24"/>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投标人根据本项目采购需求中实施要求编制实施方案，内容包含：</w:t>
            </w:r>
            <w:r>
              <w:rPr>
                <w:rFonts w:hint="eastAsia" w:ascii="宋体" w:hAnsi="宋体" w:eastAsia="宋体" w:cs="宋体"/>
                <w:color w:val="000000"/>
                <w:sz w:val="24"/>
                <w:szCs w:val="24"/>
                <w:lang w:val="zh-CN" w:eastAsia="zh-CN"/>
              </w:rPr>
              <w:t xml:space="preserve">1.供货进度保证措施；2.质量保证措施；3.协调配合措施；4.应急措施。</w:t>
            </w:r>
            <w:r>
              <w:rPr>
                <w:rFonts w:hint="eastAsia" w:ascii="宋体" w:hAnsi="宋体" w:eastAsia="宋体" w:cs="宋体"/>
                <w:color w:val="000000"/>
                <w:sz w:val="24"/>
                <w:szCs w:val="24"/>
                <w:lang w:val="en-US" w:eastAsia="zh-CN"/>
              </w:rPr>
              <w:t xml:space="preserve">以上每项内容逐条阐述。评委根据投标方案对每项内容响应情况，逐条评分。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w:t>
            </w:r>
            <w:r>
              <w:rPr>
                <w:rFonts w:hint="eastAsia" w:ascii="宋体" w:hAnsi="宋体" w:eastAsia="宋体" w:cs="宋体"/>
                <w:color w:val="000000"/>
                <w:sz w:val="24"/>
                <w:szCs w:val="24"/>
                <w:lang w:val="zh-CN" w:eastAsia="zh-CN"/>
              </w:rPr>
              <w:t xml:space="preserve">完整、科学合理，</w:t>
            </w:r>
            <w:r>
              <w:rPr>
                <w:rFonts w:hint="eastAsia" w:ascii="宋体" w:hAnsi="宋体" w:eastAsia="宋体" w:cs="宋体"/>
                <w:color w:val="000000"/>
                <w:sz w:val="24"/>
                <w:szCs w:val="24"/>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上述每项内容符合得2分；部分符合得1分；不符合或不提供不得分。</w:t>
            </w:r>
            <w:r>
              <w:rPr>
                <w:rFonts w:hint="eastAsia" w:ascii="宋体" w:hAnsi="宋体" w:eastAsia="宋体" w:cs="宋体"/>
                <w:color w:val="000000"/>
                <w:sz w:val="24"/>
                <w:szCs w:val="24"/>
                <w:lang w:val="zh-CN"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8</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主观分</w:t>
            </w:r>
            <w:r>
              <w:rPr>
                <w:rFonts w:hint="eastAsia" w:ascii="宋体" w:hAnsi="宋体" w:eastAsia="宋体" w:cs="宋体"/>
                <w:color w:val="000000"/>
                <w:spacing w:val="-6"/>
                <w:sz w:val="24"/>
                <w:szCs w:val="24"/>
                <w:lang w:val="en-US" w:eastAsia="zh-CN"/>
              </w:rPr>
            </w:r>
            <w:r/>
          </w:p>
        </w:tc>
      </w:tr>
      <w:tr>
        <w:trPr>
          <w:trHeight w:val="13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lang w:val="en-US" w:eastAsia="zh-CN"/>
              </w:rPr>
            </w:pPr>
            <w:r>
              <w:rPr>
                <w:rFonts w:hint="eastAsia" w:ascii="宋体" w:hAnsi="宋体" w:eastAsia="宋体" w:cs="宋体"/>
                <w:color w:val="000000"/>
                <w:spacing w:val="-2"/>
                <w:sz w:val="24"/>
                <w:szCs w:val="24"/>
                <w:lang w:val="en-US" w:eastAsia="zh-CN"/>
              </w:rPr>
              <w:t xml:space="preserve">3.3</w:t>
            </w:r>
            <w:r>
              <w:rPr>
                <w:rFonts w:hint="eastAsia" w:ascii="宋体" w:hAnsi="宋体" w:eastAsia="宋体" w:cs="宋体"/>
                <w:color w:val="000000"/>
                <w:spacing w:val="-2"/>
                <w:sz w:val="24"/>
                <w:szCs w:val="24"/>
                <w:lang w:val="en-US" w:eastAsia="zh-CN"/>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拆梯方案</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根据本项目采购需求中拆梯要求编制拆梯方案，内容包含：1.施工前的准备工作；2.电梯拆除程序；3.拆梯安全技术措施；4.安全保障措施。以上每项内容逐条阐述。评委根据投标方案对每项内容响应情况，逐条评分。</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方案内容</w:t>
            </w:r>
            <w:r>
              <w:rPr>
                <w:rFonts w:hint="eastAsia" w:ascii="宋体" w:hAnsi="宋体" w:eastAsia="宋体" w:cs="宋体"/>
                <w:color w:val="000000"/>
                <w:sz w:val="24"/>
                <w:szCs w:val="24"/>
                <w:lang w:val="zh-CN" w:eastAsia="zh-CN"/>
              </w:rPr>
              <w:t xml:space="preserve">完整、科学合理，</w:t>
            </w:r>
            <w:r>
              <w:rPr>
                <w:rFonts w:hint="eastAsia" w:ascii="宋体" w:hAnsi="宋体" w:eastAsia="宋体" w:cs="宋体"/>
                <w:color w:val="000000"/>
                <w:sz w:val="24"/>
                <w:szCs w:val="24"/>
                <w:lang w:val="en-US" w:eastAsia="zh-CN"/>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上述每项内容符合得2分；部分符合得1分；不符合或不提供不得分。</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8</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6"/>
                <w:sz w:val="24"/>
                <w:szCs w:val="24"/>
                <w:lang w:val="en-US" w:eastAsia="zh-CN"/>
              </w:rPr>
            </w:pPr>
            <w:r>
              <w:rPr>
                <w:rFonts w:hint="eastAsia" w:ascii="宋体" w:hAnsi="宋体" w:eastAsia="宋体" w:cs="宋体"/>
                <w:color w:val="000000"/>
                <w:spacing w:val="-6"/>
                <w:sz w:val="24"/>
                <w:szCs w:val="24"/>
                <w:lang w:val="en-US" w:eastAsia="zh-CN"/>
              </w:rPr>
              <w:t xml:space="preserve">主观分</w:t>
            </w:r>
            <w:r>
              <w:rPr>
                <w:rFonts w:hint="eastAsia" w:ascii="宋体" w:hAnsi="宋体" w:eastAsia="宋体" w:cs="宋体"/>
                <w:color w:val="000000"/>
                <w:spacing w:val="-6"/>
                <w:sz w:val="24"/>
                <w:szCs w:val="24"/>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4.业绩</w:t>
            </w:r>
            <w:r>
              <w:rPr>
                <w:rFonts w:hint="eastAsia" w:ascii="宋体" w:hAnsi="宋体" w:eastAsia="宋体" w:cs="宋体"/>
                <w:color w:val="000000"/>
                <w:sz w:val="24"/>
                <w:szCs w:val="24"/>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lang w:val="en-US" w:eastAsia="zh-CN"/>
              </w:rPr>
              <w:t xml:space="preserve">4</w:t>
            </w:r>
            <w:r>
              <w:rPr>
                <w:rFonts w:hint="eastAsia" w:ascii="宋体" w:hAnsi="宋体" w:eastAsia="宋体" w:cs="宋体"/>
                <w:color w:val="000000"/>
                <w:spacing w:val="-2"/>
                <w:sz w:val="24"/>
                <w:szCs w:val="24"/>
              </w:rPr>
              <w:t xml:space="preserve">.1</w:t>
            </w:r>
            <w:r>
              <w:rPr>
                <w:rFonts w:hint="eastAsia" w:ascii="宋体" w:hAnsi="宋体" w:eastAsia="宋体" w:cs="宋体"/>
                <w:color w:val="000000"/>
                <w:spacing w:val="-2"/>
                <w:sz w:val="24"/>
                <w:szCs w:val="24"/>
              </w:rPr>
            </w:r>
            <w:r/>
          </w:p>
        </w:tc>
        <w:tc>
          <w:tcPr>
            <w:tcW w:w="1179" w:type="dxa"/>
            <w:vAlign w:val="center"/>
            <w:textDirection w:val="lrTb"/>
            <w:noWrap w:val="false"/>
          </w:tcPr>
          <w:p>
            <w:pPr>
              <w:pStyle w:val="869"/>
              <w:spacing w:before="69" w:line="264" w:lineRule="auto"/>
              <w:rPr>
                <w:rFonts w:hint="eastAsia" w:eastAsia="宋体"/>
                <w:color w:val="000000"/>
                <w:sz w:val="24"/>
                <w:szCs w:val="24"/>
                <w:lang w:val="en-US" w:eastAsia="zh-CN"/>
              </w:rPr>
            </w:pPr>
            <w:r>
              <w:rPr>
                <w:rFonts w:hint="eastAsia" w:ascii="宋体" w:hAnsi="宋体" w:eastAsia="宋体" w:cs="宋体"/>
                <w:color w:val="000000"/>
                <w:spacing w:val="0"/>
                <w:sz w:val="24"/>
                <w:szCs w:val="24"/>
                <w:highlight w:val="none"/>
                <w:lang w:val="en-US" w:eastAsia="zh-CN"/>
              </w:rPr>
              <w:t xml:space="preserve">投标人业绩</w:t>
            </w:r>
            <w:r>
              <w:rPr>
                <w:rFonts w:hint="eastAsia" w:eastAsia="宋体"/>
                <w:color w:val="000000"/>
                <w:sz w:val="24"/>
                <w:szCs w:val="24"/>
                <w:lang w:val="en-US" w:eastAsia="zh-CN"/>
              </w:rPr>
            </w:r>
            <w:r/>
          </w:p>
        </w:tc>
        <w:tc>
          <w:tcPr>
            <w:tcW w:w="6330" w:type="dxa"/>
            <w:vAlign w:val="center"/>
            <w:textDirection w:val="lrTb"/>
            <w:noWrap w:val="false"/>
          </w:tcPr>
          <w:p>
            <w:pPr>
              <w:pStyle w:val="869"/>
              <w:jc w:val="both"/>
              <w:spacing w:line="264" w:lineRule="auto"/>
              <w:widowControl w:val="off"/>
              <w:rPr>
                <w:rFonts w:ascii="宋体" w:hAnsi="宋体" w:eastAsia="宋体" w:cs="宋体"/>
                <w:color w:val="000000"/>
                <w:sz w:val="24"/>
                <w:szCs w:val="24"/>
                <w:lang w:val="en-US" w:eastAsia="zh-CN" w:bidi="zh-CN"/>
              </w:rPr>
            </w:pPr>
            <w:r>
              <w:rPr>
                <w:rFonts w:hint="eastAsia" w:ascii="宋体" w:hAnsi="宋体" w:eastAsia="宋体" w:cs="宋体"/>
                <w:color w:val="000000"/>
                <w:sz w:val="24"/>
                <w:szCs w:val="24"/>
                <w:lang w:val="en-US" w:eastAsia="zh-CN"/>
              </w:rPr>
              <w:t xml:space="preserve">投标人提供2024年1月1日（含）以来类似电梯项目业绩（至少包含供货、安装、质保），每提供1个得3分，最多得9分。（时间以合同签订时间为准，提供有效合同，合同页须清晰可见相应内容）</w:t>
            </w:r>
            <w:r>
              <w:rPr>
                <w:rFonts w:ascii="宋体" w:hAnsi="宋体" w:eastAsia="宋体" w:cs="宋体"/>
                <w:color w:val="000000"/>
                <w:sz w:val="24"/>
                <w:szCs w:val="24"/>
                <w:lang w:val="en-US" w:eastAsia="zh-CN" w:bidi="zh-CN"/>
              </w:rPr>
            </w:r>
            <w:r/>
          </w:p>
        </w:tc>
        <w:tc>
          <w:tcPr>
            <w:tcW w:w="647" w:type="dxa"/>
            <w:vAlign w:val="center"/>
            <w:textDirection w:val="lrTb"/>
            <w:noWrap w:val="false"/>
          </w:tcPr>
          <w:p>
            <w:pPr>
              <w:pStyle w:val="869"/>
              <w:jc w:val="center"/>
              <w:spacing w:line="264"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pacing w:val="-6"/>
                <w:sz w:val="24"/>
                <w:szCs w:val="24"/>
              </w:rPr>
              <w:t xml:space="preserve">客</w:t>
            </w:r>
            <w:r>
              <w:rPr>
                <w:rFonts w:hint="eastAsia" w:ascii="宋体" w:hAnsi="宋体" w:eastAsia="宋体" w:cs="宋体"/>
                <w:color w:val="000000"/>
                <w:spacing w:val="-4"/>
                <w:sz w:val="24"/>
                <w:szCs w:val="24"/>
              </w:rPr>
              <w:t xml:space="preserve">观</w:t>
            </w:r>
            <w:r>
              <w:rPr>
                <w:rFonts w:hint="eastAsia" w:ascii="宋体" w:hAnsi="宋体" w:eastAsia="宋体" w:cs="宋体"/>
                <w:color w:val="000000"/>
                <w:spacing w:val="-4"/>
                <w:sz w:val="24"/>
                <w:szCs w:val="24"/>
                <w:lang w:eastAsia="zh-CN"/>
              </w:rPr>
              <w:t xml:space="preserve">分</w:t>
            </w:r>
            <w:r>
              <w:rPr>
                <w:rFonts w:hint="eastAsia" w:ascii="宋体" w:hAnsi="宋体" w:eastAsia="宋体" w:cs="宋体"/>
                <w:color w:val="000000"/>
                <w:sz w:val="24"/>
                <w:szCs w:val="24"/>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hint="eastAsia" w:ascii="宋体" w:hAnsi="宋体" w:eastAsia="宋体" w:cs="宋体"/>
                <w:color w:val="000000"/>
                <w:sz w:val="24"/>
                <w:szCs w:val="24"/>
              </w:rPr>
            </w:pPr>
            <w:r>
              <w:rPr>
                <w:rFonts w:hint="eastAsia" w:ascii="宋体" w:hAnsi="宋体" w:eastAsia="宋体" w:cs="宋体"/>
                <w:b/>
                <w:bCs/>
                <w:color w:val="000000"/>
                <w:spacing w:val="-3"/>
                <w:sz w:val="24"/>
                <w:szCs w:val="24"/>
                <w:lang w:val="en-US" w:eastAsia="zh-CN"/>
              </w:rPr>
              <w:t xml:space="preserve">5.履约能力</w:t>
            </w:r>
            <w:r>
              <w:rPr>
                <w:rFonts w:hint="eastAsia" w:ascii="宋体" w:hAnsi="宋体" w:eastAsia="宋体" w:cs="宋体"/>
                <w:color w:val="000000"/>
                <w:sz w:val="24"/>
                <w:szCs w:val="24"/>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5.1</w:t>
            </w:r>
            <w:r>
              <w:rPr>
                <w:rFonts w:hint="eastAsia" w:ascii="宋体" w:hAnsi="宋体" w:eastAsia="宋体" w:cs="宋体"/>
                <w:color w:val="000000"/>
                <w:spacing w:val="-5"/>
                <w:sz w:val="24"/>
                <w:szCs w:val="24"/>
                <w:lang w:val="en-US" w:eastAsia="zh-CN"/>
              </w:rPr>
            </w:r>
            <w:r/>
          </w:p>
        </w:tc>
        <w:tc>
          <w:tcPr>
            <w:tcW w:w="1179" w:type="dxa"/>
            <w:vAlign w:val="center"/>
            <w:textDirection w:val="lrTb"/>
            <w:noWrap w:val="false"/>
          </w:tcPr>
          <w:p>
            <w:pPr>
              <w:pStyle w:val="869"/>
              <w:spacing w:before="69" w:line="264"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履约能力1</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提供整梯质保（维保）的承诺函（质保期包含：电梯维修保养及配件更换，电梯年度报检、检测费、保险等相关费用），明确质保期限，满足质保期2年的基础上，每增加1年得2分，最多得6分。（提供加盖投标人公章的承诺函，格式自拟）</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6</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rPr>
                <w:rFonts w:hint="eastAsia" w:ascii="宋体" w:hAnsi="宋体" w:eastAsia="宋体" w:cs="宋体"/>
                <w:color w:val="000000"/>
                <w:sz w:val="24"/>
                <w:szCs w:val="24"/>
              </w:rPr>
            </w:pPr>
            <w:r>
              <w:rPr>
                <w:rFonts w:hint="eastAsia" w:ascii="宋体" w:hAnsi="宋体" w:cs="宋体"/>
                <w:color w:val="000000"/>
                <w:spacing w:val="-6"/>
                <w:sz w:val="24"/>
                <w:szCs w:val="24"/>
              </w:rPr>
              <w:t xml:space="preserve">客观分</w:t>
            </w:r>
            <w:r>
              <w:rPr>
                <w:rFonts w:hint="eastAsia" w:ascii="宋体" w:hAnsi="宋体" w:eastAsia="宋体" w:cs="宋体"/>
                <w:color w:val="000000"/>
                <w:sz w:val="24"/>
                <w:szCs w:val="24"/>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5"/>
                <w:sz w:val="24"/>
                <w:szCs w:val="24"/>
                <w:lang w:val="en-US" w:eastAsia="zh-CN"/>
              </w:rPr>
            </w:pPr>
            <w:r>
              <w:rPr>
                <w:rFonts w:hint="eastAsia" w:ascii="宋体" w:hAnsi="宋体" w:eastAsia="宋体" w:cs="宋体"/>
                <w:color w:val="000000"/>
                <w:spacing w:val="-5"/>
                <w:sz w:val="24"/>
                <w:szCs w:val="24"/>
                <w:lang w:val="en-US" w:eastAsia="zh-CN"/>
              </w:rPr>
              <w:t xml:space="preserve">5.2</w:t>
            </w:r>
            <w:r>
              <w:rPr>
                <w:rFonts w:hint="eastAsia" w:ascii="宋体" w:hAnsi="宋体" w:eastAsia="宋体" w:cs="宋体"/>
                <w:color w:val="000000"/>
                <w:spacing w:val="-5"/>
                <w:sz w:val="24"/>
                <w:szCs w:val="24"/>
                <w:lang w:val="en-US" w:eastAsia="zh-CN"/>
              </w:rPr>
            </w:r>
            <w:r/>
          </w:p>
        </w:tc>
        <w:tc>
          <w:tcPr>
            <w:tcW w:w="1179" w:type="dxa"/>
            <w:vAlign w:val="center"/>
            <w:textDirection w:val="lrTb"/>
            <w:noWrap w:val="false"/>
          </w:tcPr>
          <w:p>
            <w:pPr>
              <w:pStyle w:val="869"/>
              <w:spacing w:before="69" w:line="264" w:lineRule="auto"/>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履约能力2</w:t>
            </w:r>
            <w:r>
              <w:rPr>
                <w:rFonts w:hint="eastAsia" w:ascii="宋体" w:hAnsi="宋体" w:eastAsia="宋体" w:cs="宋体"/>
                <w:color w:val="000000"/>
                <w:spacing w:val="0"/>
                <w:sz w:val="24"/>
                <w:szCs w:val="24"/>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人或所投产品制造商承诺投保《公共及产品责任险》的累计责任限额＞人民币15000万元的得4分；＞人民币10000万元≤15000万元的得3分；＞人民币5000万元≤10000万元的得1分，其他不得分。（提供加盖投标人或所投产品制造商公章的承诺函，格式自拟）</w:t>
            </w:r>
            <w:r>
              <w:rPr>
                <w:rFonts w:hint="eastAsia" w:ascii="宋体" w:hAnsi="宋体" w:eastAsia="宋体" w:cs="宋体"/>
                <w:color w:val="000000"/>
                <w:sz w:val="24"/>
                <w:szCs w:val="24"/>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pacing w:val="0"/>
                <w:sz w:val="24"/>
                <w:szCs w:val="24"/>
                <w:highlight w:val="none"/>
                <w:lang w:val="en-US" w:eastAsia="zh-CN" w:bidi="ar-SA"/>
              </w:rPr>
              <w:t xml:space="preserve">4</w:t>
            </w:r>
            <w:r>
              <w:rPr>
                <w:rFonts w:hint="eastAsia" w:ascii="宋体" w:hAnsi="宋体" w:eastAsia="宋体" w:cs="宋体"/>
                <w:color w:val="000000"/>
                <w:sz w:val="24"/>
                <w:szCs w:val="24"/>
                <w:lang w:val="en-US" w:eastAsia="zh-CN" w:bidi="ar-SA"/>
              </w:rPr>
            </w:r>
            <w:r/>
          </w:p>
        </w:tc>
        <w:tc>
          <w:tcPr>
            <w:tcW w:w="900" w:type="dxa"/>
            <w:vAlign w:val="center"/>
            <w:textDirection w:val="lrTb"/>
            <w:noWrap w:val="false"/>
          </w:tcPr>
          <w:p>
            <w:pPr>
              <w:pStyle w:val="869"/>
              <w:jc w:val="center"/>
              <w:keepLines w:val="0"/>
              <w:keepNext w:val="0"/>
              <w:pageBreakBefore w:val="0"/>
              <w:spacing w:line="264" w:lineRule="auto"/>
              <w:rPr>
                <w:rFonts w:hint="eastAsia" w:ascii="宋体" w:hAnsi="宋体" w:eastAsia="宋体" w:cs="宋体"/>
                <w:color w:val="000000"/>
                <w:sz w:val="24"/>
                <w:szCs w:val="24"/>
              </w:rPr>
            </w:pPr>
            <w:r>
              <w:rPr>
                <w:rFonts w:hint="eastAsia"/>
                <w:color w:val="000000"/>
                <w:sz w:val="24"/>
                <w:szCs w:val="24"/>
                <w:highlight w:val="none"/>
                <w:u w:val="none"/>
              </w:rPr>
              <w:t xml:space="preserve">客观分</w:t>
            </w:r>
            <w:r>
              <w:rPr>
                <w:rFonts w:hint="eastAsia" w:ascii="宋体" w:hAnsi="宋体" w:eastAsia="宋体" w:cs="宋体"/>
                <w:color w:val="000000"/>
                <w:sz w:val="24"/>
                <w:szCs w:val="24"/>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3"/>
                <w:sz w:val="24"/>
                <w:szCs w:val="24"/>
              </w:rPr>
              <w:t xml:space="preserve">合</w:t>
            </w:r>
            <w:r>
              <w:rPr>
                <w:rFonts w:hint="eastAsia" w:ascii="宋体" w:hAnsi="宋体" w:eastAsia="宋体" w:cs="宋体"/>
                <w:color w:val="000000"/>
                <w:spacing w:val="-2"/>
                <w:sz w:val="24"/>
                <w:szCs w:val="24"/>
              </w:rPr>
              <w:t xml:space="preserve">计</w:t>
            </w:r>
            <w:r>
              <w:rPr>
                <w:rFonts w:hint="eastAsia" w:ascii="宋体" w:hAnsi="宋体" w:eastAsia="宋体" w:cs="宋体"/>
                <w:color w:val="000000"/>
                <w:sz w:val="24"/>
                <w:szCs w:val="24"/>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rPr>
                <w:rFonts w:hint="eastAsia" w:ascii="宋体" w:hAnsi="宋体" w:eastAsia="宋体" w:cs="宋体"/>
                <w:color w:val="000000"/>
                <w:sz w:val="24"/>
                <w:szCs w:val="24"/>
              </w:rPr>
            </w:r>
            <w:r/>
          </w:p>
        </w:tc>
      </w:tr>
    </w:tbl>
    <w:p>
      <w:pPr>
        <w:pStyle w:val="869"/>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lang w:val="en-US" w:eastAsia="zh-CN"/>
        </w:rPr>
      </w:pPr>
      <w:r>
        <w:rPr>
          <w:rFonts w:hint="eastAsia"/>
          <w:lang w:val="en-US" w:eastAsia="zh-CN"/>
        </w:rPr>
      </w:r>
      <w:r/>
    </w:p>
    <w:p>
      <w:pPr>
        <w:pStyle w:val="869"/>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rPr>
          <w:rFonts w:hint="eastAsia" w:ascii="宋体" w:hAnsi="宋体" w:eastAsia="宋体" w:cs="宋体"/>
          <w:b/>
          <w:bCs/>
          <w:color w:val="0000ff"/>
          <w:sz w:val="24"/>
          <w:szCs w:val="24"/>
          <w:highlight w:val="none"/>
          <w:u w:val="none"/>
          <w:lang w:val="en-US" w:eastAsia="zh-CN"/>
        </w:rPr>
      </w:r>
      <w:r/>
    </w:p>
    <w:p>
      <w:pPr>
        <w:pStyle w:val="881"/>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69"/>
        <w:rPr>
          <w:rFonts w:hint="eastAsia"/>
          <w:lang w:val="en-US" w:eastAsia="zh-CN"/>
        </w:rPr>
      </w:pPr>
      <w:r>
        <w:rPr>
          <w:rFonts w:hint="eastAsia"/>
          <w:lang w:val="en-US" w:eastAsia="zh-CN"/>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198" w:name="OLE_LINK1"/>
      <w:r>
        <w:rPr>
          <w:rFonts w:hint="eastAsia" w:ascii="方正小标宋简体" w:hAnsi="方正小标宋简体" w:eastAsia="方正小标宋简体" w:cs="方正小标宋简体"/>
          <w:color w:val="000000"/>
          <w:sz w:val="36"/>
          <w:szCs w:val="36"/>
        </w:rPr>
        <w:t xml:space="preserve">第六章  投标</w:t>
      </w:r>
      <w:bookmarkEnd w:id="195"/>
      <w:r/>
      <w:bookmarkEnd w:id="196"/>
      <w:r/>
      <w:bookmarkEnd w:id="197"/>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69"/>
        <w:jc w:val="center"/>
        <w:rPr>
          <w:rFonts w:hint="eastAsia" w:ascii="宋体" w:hAnsi="宋体"/>
          <w:b/>
          <w:color w:val="000000"/>
          <w:sz w:val="72"/>
          <w:szCs w:val="21"/>
        </w:rPr>
      </w:pPr>
      <w:r/>
      <w:bookmarkEnd w:id="198"/>
      <w:r/>
      <w:bookmarkStart w:id="199" w:name="_Hlt26955039"/>
      <w:r/>
      <w:bookmarkEnd w:id="199"/>
      <w:r/>
      <w:bookmarkStart w:id="200" w:name="_Hlt26671244"/>
      <w:r/>
      <w:bookmarkEnd w:id="200"/>
      <w:r/>
      <w:bookmarkStart w:id="201" w:name="_Toc120614282"/>
      <w:r/>
      <w:bookmarkStart w:id="202" w:name="_Toc49090576"/>
      <w:r/>
      <w:bookmarkStart w:id="203" w:name="_Toc26554094"/>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72"/>
          <w:szCs w:val="21"/>
        </w:rPr>
      </w:pPr>
      <w:r>
        <w:rPr>
          <w:rFonts w:hint="eastAsia" w:ascii="宋体" w:hAnsi="宋体"/>
          <w:b/>
          <w:color w:val="000000"/>
          <w:sz w:val="72"/>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jc w:val="center"/>
        <w:rPr>
          <w:rFonts w:hint="eastAsia" w:ascii="宋体" w:hAnsi="宋体"/>
          <w:b/>
          <w:color w:val="000000"/>
          <w:sz w:val="36"/>
          <w:szCs w:val="21"/>
        </w:rPr>
      </w:pPr>
      <w:r>
        <w:rPr>
          <w:rFonts w:hint="eastAsia" w:ascii="宋体" w:hAnsi="宋体"/>
          <w:b/>
          <w:color w:val="000000"/>
          <w:sz w:val="36"/>
          <w:szCs w:val="21"/>
        </w:rPr>
      </w:r>
      <w:r/>
    </w:p>
    <w:p>
      <w:pPr>
        <w:pStyle w:val="869"/>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9"/>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9"/>
        <w:spacing w:line="440" w:lineRule="exact"/>
        <w:rPr>
          <w:rFonts w:ascii="宋体" w:hAnsi="宋体"/>
          <w:color w:val="000000"/>
          <w:szCs w:val="21"/>
        </w:rPr>
      </w:pPr>
      <w:r>
        <w:rPr>
          <w:rFonts w:ascii="宋体" w:hAnsi="宋体"/>
          <w:color w:val="000000"/>
          <w:szCs w:val="21"/>
        </w:rPr>
      </w:r>
      <w:r/>
    </w:p>
    <w:p>
      <w:pPr>
        <w:pStyle w:val="869"/>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r/>
      <w:bookmarkEnd w:id="193"/>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69"/>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rPr>
          <w:rFonts w:hint="eastAsia" w:ascii="宋体" w:hAnsi="宋体" w:eastAsia="宋体" w:cs="宋体"/>
          <w:sz w:val="28"/>
          <w:szCs w:val="28"/>
          <w:lang w:val="en-US" w:eastAsia="zh-CN"/>
        </w:rPr>
      </w:r>
      <w:r/>
    </w:p>
    <w:p>
      <w:pPr>
        <w:pStyle w:val="869"/>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986"/>
        <w:rPr>
          <w:rFonts w:ascii="宋体" w:hAnsi="宋体"/>
          <w:sz w:val="24"/>
        </w:rPr>
      </w:pPr>
      <w:r>
        <w:rPr>
          <w:rFonts w:ascii="宋体" w:hAnsi="宋体"/>
          <w:sz w:val="24"/>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69"/>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81"/>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87"/>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57"/>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88"/>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57"/>
        <w:ind w:firstLine="480"/>
        <w:spacing w:line="420" w:lineRule="exact"/>
        <w:tabs>
          <w:tab w:val="left" w:pos="360" w:leader="none"/>
        </w:tabs>
        <w:rPr>
          <w:rFonts w:hint="eastAsia"/>
          <w:sz w:val="24"/>
          <w:szCs w:val="24"/>
        </w:rPr>
      </w:pP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57"/>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57"/>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57"/>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Hlt26955070"/>
      <w:r/>
      <w:bookmarkEnd w:id="205"/>
      <w:r/>
      <w:bookmarkStart w:id="206" w:name="_Hlt26671380"/>
      <w:r/>
      <w:bookmarkEnd w:id="206"/>
      <w:r/>
      <w:bookmarkStart w:id="207" w:name="_格式3__银行出具的资信证明"/>
      <w:r/>
      <w:bookmarkEnd w:id="207"/>
      <w:r>
        <w:rPr>
          <w:rFonts w:hint="eastAsia"/>
          <w:sz w:val="24"/>
          <w:szCs w:val="24"/>
        </w:rPr>
      </w:r>
      <w:r/>
    </w:p>
    <w:p>
      <w:pPr>
        <w:pStyle w:val="889"/>
        <w:rPr>
          <w:rFonts w:hint="eastAsia"/>
          <w:i/>
          <w:sz w:val="24"/>
          <w:szCs w:val="24"/>
          <w:u w:val="single"/>
        </w:rPr>
      </w:pPr>
      <w:r>
        <w:rPr>
          <w:rFonts w:hint="eastAsia"/>
          <w:i/>
          <w:sz w:val="24"/>
          <w:szCs w:val="24"/>
          <w:u w:val="single"/>
        </w:rPr>
      </w:r>
      <w:r/>
    </w:p>
    <w:p>
      <w:pPr>
        <w:pStyle w:val="889"/>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86"/>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59"/>
        <w:spacing w:before="0" w:after="0" w:line="360" w:lineRule="auto"/>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59"/>
        <w:ind w:firstLine="480"/>
        <w:spacing w:before="0" w:after="0" w:line="360" w:lineRule="auto"/>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rPr>
          <w:rFonts w:hint="eastAsia" w:ascii="宋体" w:hAnsi="宋体"/>
          <w:szCs w:val="21"/>
        </w:rPr>
      </w:r>
      <w:r/>
    </w:p>
    <w:p>
      <w:pPr>
        <w:pStyle w:val="959"/>
        <w:spacing w:before="0" w:after="0" w:line="360" w:lineRule="auto"/>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rPr>
          <w:rFonts w:hint="eastAsia" w:ascii="宋体" w:hAnsi="宋体"/>
          <w:szCs w:val="21"/>
        </w:rPr>
      </w:r>
      <w:r/>
    </w:p>
    <w:p>
      <w:pPr>
        <w:pStyle w:val="959"/>
        <w:spacing w:before="0" w:after="0"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rPr>
          <w:rFonts w:hint="eastAsia" w:ascii="宋体" w:hAnsi="宋体"/>
          <w:szCs w:val="21"/>
        </w:rPr>
      </w:r>
      <w:r/>
    </w:p>
    <w:p>
      <w:pPr>
        <w:pStyle w:val="959"/>
        <w:spacing w:before="0" w:after="0" w:line="36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rPr>
          <w:rFonts w:hint="eastAsia" w:ascii="宋体" w:hAnsi="宋体"/>
          <w:szCs w:val="21"/>
        </w:rPr>
      </w:r>
      <w:r/>
    </w:p>
    <w:p>
      <w:pPr>
        <w:pStyle w:val="869"/>
        <w:ind w:firstLine="480"/>
        <w:jc w:val="left"/>
        <w:spacing w:line="360" w:lineRule="auto"/>
        <w:rPr>
          <w:rFonts w:hint="eastAsia" w:ascii="宋体" w:hAnsi="宋体" w:eastAsia="宋体" w:cs="Times New Roman"/>
          <w:sz w:val="24"/>
          <w:szCs w:val="24"/>
        </w:rPr>
      </w:pP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1"/>
        <w:rPr>
          <w:rFonts w:eastAsia="宋体"/>
          <w:lang w:val="en-US" w:eastAsia="zh-CN"/>
        </w:rPr>
      </w:pPr>
      <w:r>
        <w:rPr>
          <w:rFonts w:hint="eastAsia" w:ascii="宋体" w:hAnsi="宋体" w:eastAsia="宋体" w:cs="Times New Roman"/>
          <w:sz w:val="24"/>
          <w:szCs w:val="21"/>
          <w:lang w:val="en-US" w:eastAsia="zh-CN"/>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59"/>
        <w:spacing w:before="0" w:after="0" w:line="360" w:lineRule="auto"/>
        <w:rPr>
          <w:rFonts w:hint="eastAsia" w:ascii="宋体" w:hAnsi="宋体"/>
          <w:szCs w:val="21"/>
        </w:rPr>
      </w:pP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59"/>
        <w:ind w:left="0" w:firstLine="480"/>
        <w:spacing w:before="0" w:after="0" w:line="36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spacing w:before="0" w:after="0" w:line="360" w:lineRule="auto"/>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spacing w:before="0" w:after="0" w:line="360" w:lineRule="auto"/>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spacing w:before="0" w:after="0" w:line="360" w:lineRule="auto"/>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69"/>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20"/>
        </w:trPr>
        <w:tc>
          <w:tcPr>
            <w:tcW w:w="9450" w:type="dxa"/>
            <w:vAlign w:val="center"/>
            <w:textDirection w:val="lrTb"/>
            <w:noWrap w:val="false"/>
          </w:tcPr>
          <w:p>
            <w:pPr>
              <w:pStyle w:val="959"/>
              <w:ind w:firstLine="0"/>
              <w:spacing w:before="0" w:after="0" w:line="500" w:lineRule="exact"/>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rPr>
          <w:rFonts w:ascii="宋体" w:hAnsi="宋体"/>
          <w:sz w:val="24"/>
          <w:szCs w:val="24"/>
        </w:rPr>
      </w:pPr>
      <w:r>
        <w:rPr>
          <w:rFonts w:ascii="宋体" w:hAnsi="宋体"/>
          <w:sz w:val="24"/>
          <w:szCs w:val="24"/>
        </w:rPr>
      </w:r>
      <w:r/>
    </w:p>
    <w:p>
      <w:pPr>
        <w:pStyle w:val="869"/>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pStyle w:val="869"/>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69"/>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序号</w:t>
            </w:r>
            <w:r>
              <w:rPr>
                <w:rFonts w:hint="eastAsia" w:ascii="宋体" w:hAnsi="宋体" w:eastAsia="宋体" w:cs="Times New Roman"/>
                <w:sz w:val="24"/>
                <w:szCs w:val="24"/>
                <w:lang w:val="en-US" w:eastAsia="zh-CN"/>
              </w:rPr>
            </w:r>
            <w:r/>
          </w:p>
        </w:tc>
        <w:tc>
          <w:tcPr>
            <w:tcW w:w="3753"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产品名称</w:t>
            </w:r>
            <w:r>
              <w:rPr>
                <w:rFonts w:hint="eastAsia" w:ascii="宋体" w:hAnsi="宋体" w:eastAsia="宋体" w:cs="Times New Roman"/>
                <w:sz w:val="24"/>
                <w:szCs w:val="24"/>
                <w:lang w:val="en-US" w:eastAsia="zh-CN"/>
              </w:rPr>
            </w:r>
            <w:r/>
          </w:p>
        </w:tc>
        <w:tc>
          <w:tcPr>
            <w:tcW w:w="2158"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产品品牌</w:t>
            </w:r>
            <w:r>
              <w:rPr>
                <w:rFonts w:hint="eastAsia" w:ascii="宋体" w:hAnsi="宋体" w:eastAsia="宋体" w:cs="Times New Roman"/>
                <w:sz w:val="24"/>
                <w:szCs w:val="24"/>
                <w:lang w:val="en-US" w:eastAsia="zh-CN"/>
              </w:rPr>
            </w:r>
            <w:r/>
          </w:p>
        </w:tc>
        <w:tc>
          <w:tcPr>
            <w:tcW w:w="2601" w:type="dxa"/>
            <w:vAlign w:val="center"/>
            <w:textDirection w:val="lrTb"/>
            <w:noWrap w:val="false"/>
          </w:tcPr>
          <w:p>
            <w:pPr>
              <w:pStyle w:val="869"/>
              <w:jc w:val="center"/>
              <w:spacing w:line="0" w:lineRule="atLeast"/>
              <w:widowControl/>
              <w:rPr>
                <w:rFonts w:hint="eastAsia" w:ascii="宋体" w:hAnsi="宋体" w:eastAsia="宋体" w:cs="Times New Roman"/>
                <w:sz w:val="24"/>
                <w:szCs w:val="24"/>
                <w:lang w:val="en-US" w:eastAsia="zh-CN"/>
              </w:rPr>
              <w:framePr w:vAnchor="page" w:hAnchor="page" w:xAlign="center" w:y="133"/>
            </w:pPr>
            <w:r>
              <w:rPr>
                <w:rFonts w:hint="eastAsia" w:ascii="宋体" w:hAnsi="宋体" w:eastAsia="宋体" w:cs="Times New Roman"/>
                <w:sz w:val="24"/>
                <w:szCs w:val="24"/>
                <w:lang w:val="en-US" w:eastAsia="zh-CN"/>
              </w:rPr>
              <w:t xml:space="preserve">规格或型号</w:t>
            </w:r>
            <w:r>
              <w:rPr>
                <w:rFonts w:hint="eastAsia" w:ascii="宋体" w:hAnsi="宋体" w:eastAsia="宋体" w:cs="Times New Roman"/>
                <w:sz w:val="24"/>
                <w:szCs w:val="24"/>
                <w:lang w:val="en-US" w:eastAsia="zh-CN"/>
              </w:rPr>
            </w:r>
            <w:r/>
          </w:p>
        </w:tc>
      </w:tr>
      <w:tr>
        <w:trPr>
          <w:trHeight w:val="963"/>
        </w:trPr>
        <w:tc>
          <w:tcPr>
            <w:tcW w:w="1251"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ascii="宋体" w:hAnsi="宋体" w:eastAsia="宋体" w:cs="宋体"/>
                <w:sz w:val="21"/>
                <w:szCs w:val="21"/>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601" w:type="dxa"/>
            <w:vAlign w:val="top"/>
            <w:textDirection w:val="lrTb"/>
            <w:noWrap w:val="false"/>
          </w:tcPr>
          <w:p>
            <w:pPr>
              <w:pStyle w:val="869"/>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69"/>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69"/>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69"/>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9"/>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69"/>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69"/>
              <w:jc w:val="center"/>
              <w:spacing w:line="360" w:lineRule="auto"/>
              <w:rPr>
                <w:rFonts w:hint="eastAsia" w:ascii="宋体" w:hAnsi="宋体"/>
                <w:sz w:val="24"/>
                <w:szCs w:val="24"/>
              </w:rPr>
              <w:outlineLvl w:val="2"/>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96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21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603"/>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rPr>
                <w:rFonts w:hint="eastAsia" w:ascii="宋体" w:hAnsi="宋体" w:eastAsia="宋体"/>
                <w:sz w:val="24"/>
                <w:szCs w:val="24"/>
                <w:lang w:eastAsia="zh-CN"/>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ascii="宋体" w:hAnsi="宋体" w:eastAsia="宋体"/>
                <w:sz w:val="24"/>
                <w:szCs w:val="24"/>
                <w:lang w:val="en-US" w:eastAsia="zh-CN"/>
              </w:rPr>
            </w:r>
            <w:r/>
          </w:p>
        </w:tc>
        <w:tc>
          <w:tcPr>
            <w:tcW w:w="1210"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290"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rPr>
                <w:rFonts w:hint="eastAsia" w:ascii="宋体" w:hAnsi="宋体"/>
                <w:sz w:val="24"/>
                <w:szCs w:val="24"/>
              </w:rPr>
            </w:r>
            <w:r/>
          </w:p>
        </w:tc>
      </w:tr>
      <w:tr>
        <w:trPr>
          <w:cantSplit/>
          <w:trHeight w:val="654"/>
        </w:trPr>
        <w:tc>
          <w:tcPr>
            <w:gridSpan w:val="9"/>
            <w:tcW w:w="9871" w:type="dxa"/>
            <w:vAlign w:val="center"/>
            <w:textDirection w:val="lrTb"/>
            <w:noWrap w:val="false"/>
          </w:tcPr>
          <w:p>
            <w:pPr>
              <w:pStyle w:val="869"/>
              <w:jc w:val="both"/>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869"/>
        <w:ind w:firstLine="0"/>
        <w:rPr>
          <w:rFonts w:hint="eastAsia" w:ascii="宋体" w:hAnsi="宋体"/>
          <w:sz w:val="24"/>
          <w:szCs w:val="24"/>
        </w:rPr>
      </w:pP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4"/>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9"/>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9"/>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69"/>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69"/>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869"/>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ascii="宋体" w:hAnsi="宋体" w:eastAsia="宋体" w:cs="宋体"/>
          <w:color w:val="000000"/>
          <w:lang w:val="en-US" w:eastAsia="zh-CN"/>
        </w:rPr>
        <w:t xml:space="preserve">招标文件</w:t>
      </w:r>
      <w:r>
        <w:rPr>
          <w:rFonts w:hint="eastAsia" w:ascii="宋体" w:hAnsi="宋体" w:eastAsia="宋体" w:cs="宋体"/>
          <w:color w:val="000000"/>
          <w:lang w:val="en-US" w:eastAsia="zh-CN"/>
        </w:rPr>
        <w:t xml:space="preserve">商务要求中的实质性要求（斜体下划线内容或打“★”内容）做出明确响应，否则视为无效投标。</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spacing w:line="480" w:lineRule="auto"/>
        <w:rPr>
          <w:rFonts w:hint="eastAsia" w:ascii="宋体" w:hAnsi="宋体"/>
          <w:color w:val="000000"/>
          <w:sz w:val="24"/>
          <w:szCs w:val="21"/>
        </w:rPr>
      </w:pPr>
      <w:r>
        <w:rPr>
          <w:rFonts w:hint="eastAsia" w:ascii="宋体" w:hAnsi="宋体"/>
          <w:color w:val="000000"/>
          <w:sz w:val="24"/>
          <w:szCs w:val="21"/>
        </w:rPr>
      </w:r>
      <w:r/>
    </w:p>
    <w:p>
      <w:pPr>
        <w:pStyle w:val="869"/>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8"/>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69"/>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69"/>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69"/>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36"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869"/>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69"/>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869"/>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48"/>
        <w:rPr>
          <w:rFonts w:hint="eastAsia" w:ascii="宋体" w:hAnsi="宋体"/>
          <w:sz w:val="24"/>
          <w:szCs w:val="24"/>
          <w:lang w:eastAsia="zh-CN"/>
        </w:rPr>
      </w:pPr>
      <w:r>
        <w:rPr>
          <w:rFonts w:hint="eastAsia" w:ascii="宋体" w:hAnsi="宋体"/>
          <w:sz w:val="24"/>
          <w:szCs w:val="24"/>
          <w:lang w:eastAsia="zh-CN"/>
        </w:rPr>
      </w:r>
      <w:r/>
    </w:p>
    <w:p>
      <w:pPr>
        <w:pStyle w:val="869"/>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spacing w:line="588" w:lineRule="exact"/>
        <w:rPr>
          <w:rFonts w:hint="eastAsia" w:ascii="宋体" w:hAnsi="宋体"/>
          <w:sz w:val="24"/>
        </w:rPr>
      </w:pP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69"/>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6"/>
      </w:pPr>
      <w:r/>
      <w:r/>
    </w:p>
    <w:p>
      <w:pPr>
        <w:pStyle w:val="869"/>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869"/>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w:t>
      </w:r>
      <w:r>
        <w:rPr>
          <w:rFonts w:hint="eastAsia" w:ascii="黑体" w:hAnsi="黑体" w:eastAsia="黑体" w:cs="Times New Roman"/>
          <w:i w:val="0"/>
          <w:iCs w:val="0"/>
          <w:sz w:val="32"/>
          <w:szCs w:val="32"/>
          <w:u w:val="none"/>
          <w:lang w:val="en-US" w:eastAsia="zh-CN"/>
        </w:rPr>
        <w:t xml:space="preserve">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4"/>
          <w:rFonts w:hint="eastAsia"/>
          <w:i w:val="0"/>
          <w:u w:val="single"/>
          <w:shd w:val="clear" w:color="auto" w:fill="ffffff"/>
        </w:rPr>
        <w:t xml:space="preserve">（产品名称1）</w:t>
      </w:r>
      <w:r>
        <w:rPr>
          <w:rStyle w:val="94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4"/>
          <w:rFonts w:hint="eastAsia"/>
          <w:i w:val="0"/>
          <w:u w:val="single"/>
          <w:shd w:val="clear" w:color="auto" w:fill="ffffff"/>
        </w:rPr>
        <w:t xml:space="preserve">（厂名）</w:t>
      </w:r>
      <w:r>
        <w:rPr>
          <w:rStyle w:val="944"/>
          <w:rFonts w:hint="eastAsia"/>
          <w:i w:val="0"/>
          <w:shd w:val="clear" w:color="auto" w:fill="ffffff"/>
          <w:vertAlign w:val="superscript"/>
        </w:rPr>
        <w:t xml:space="preserve">2</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Style w:val="944"/>
          <w:rFonts w:hint="eastAsia"/>
          <w:i w:val="0"/>
          <w:shd w:val="clear" w:color="auto" w:fill="ffffff"/>
          <w:vertAlign w:val="superscript"/>
        </w:rPr>
        <w:t xml:space="preserve">3</w:t>
      </w:r>
      <w:r>
        <w:rPr>
          <w:rFonts w:hint="eastAsia"/>
          <w:strike w:val="0"/>
          <w:shd w:val="clear" w:color="auto" w:fill="ffffff"/>
        </w:rPr>
        <w:t xml:space="preserve">。</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Style w:val="944"/>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（产品名称1）</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Style w:val="944"/>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4"/>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4"/>
          <w:rFonts w:hint="eastAsia"/>
          <w:i w:val="0"/>
          <w:u w:val="single"/>
          <w:shd w:val="clear" w:color="auto" w:fill="ffffff"/>
        </w:rPr>
        <w:t xml:space="preserve">（产品名称2）</w:t>
      </w:r>
      <w:r>
        <w:rPr>
          <w:rFonts w:hint="eastAsia"/>
          <w:shd w:val="clear" w:color="auto" w:fill="ffffff"/>
        </w:rPr>
        <w:t xml:space="preserve">，生产厂为</w:t>
      </w:r>
      <w:r>
        <w:rPr>
          <w:rStyle w:val="944"/>
          <w:rFonts w:hint="eastAsia"/>
          <w:i w:val="0"/>
          <w:u w:val="single"/>
          <w:shd w:val="clear" w:color="auto" w:fill="ffffff"/>
        </w:rPr>
        <w:t xml:space="preserve">（厂名）</w:t>
      </w:r>
      <w:r>
        <w:rPr>
          <w:rFonts w:hint="eastAsia"/>
          <w:shd w:val="clear" w:color="auto" w:fill="ffffff"/>
        </w:rPr>
        <w:t xml:space="preserve">，厂址为</w:t>
      </w:r>
      <w:r>
        <w:rPr>
          <w:rStyle w:val="944"/>
          <w:rFonts w:hint="eastAsia"/>
          <w:i w:val="0"/>
          <w:u w:val="single"/>
          <w:shd w:val="clear" w:color="auto" w:fill="ffffff"/>
        </w:rPr>
        <w:t xml:space="preserve">（生产厂址）</w:t>
      </w:r>
      <w:r>
        <w:rPr>
          <w:rFonts w:hint="eastAsia"/>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4"/>
          <w:rFonts w:hint="eastAsia"/>
          <w:i/>
          <w:strike w:val="0"/>
          <w:u w:val="single"/>
          <w:shd w:val="clear" w:color="auto" w:fill="ffffff"/>
        </w:rPr>
        <w:t xml:space="preserve">（规定比例）</w:t>
      </w:r>
      <w:r>
        <w:rPr>
          <w:rFonts w:hint="eastAsia"/>
          <w:strike w:val="0"/>
          <w:shd w:val="clear" w:color="auto" w:fill="ffffff"/>
        </w:rPr>
        <w:t xml:space="preserve">。</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4"/>
          <w:rFonts w:hint="eastAsia"/>
          <w:i/>
          <w:strike w:val="0"/>
          <w:u w:val="single"/>
          <w:shd w:val="clear" w:color="auto" w:fill="ffffff"/>
        </w:rPr>
        <w:t xml:space="preserve">（产品名称2）</w:t>
      </w:r>
      <w:r>
        <w:rPr>
          <w:rFonts w:hint="eastAsia"/>
          <w:strike w:val="0"/>
          <w:shd w:val="clear" w:color="auto" w:fill="ffffff"/>
        </w:rPr>
        <w:t xml:space="preserve">的</w:t>
      </w:r>
      <w:r>
        <w:rPr>
          <w:rStyle w:val="944"/>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4"/>
        <w:ind w:firstLine="0"/>
        <w:spacing w:before="24" w:beforeAutospacing="0" w:after="24" w:afterAutospacing="0" w:line="360" w:lineRule="auto"/>
        <w:shd w:val="clear" w:color="auto" w:fill="ffffff"/>
        <w:rPr>
          <w:rFonts w:hint="eastAsia"/>
          <w:shd w:val="clear" w:color="auto" w:fill="ffffff"/>
        </w:rPr>
      </w:pPr>
      <w:r>
        <w:rPr>
          <w:rFonts w:hint="eastAsia"/>
          <w:shd w:val="clear" w:color="auto" w:fill="ffffff"/>
        </w:rPr>
      </w:r>
      <w:r/>
    </w:p>
    <w:p>
      <w:pPr>
        <w:pStyle w:val="934"/>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4"/>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4"/>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4"/>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rPr>
          <w:rFonts w:hint="eastAsia"/>
          <w:b w:val="0"/>
          <w:bCs w:val="0"/>
          <w:sz w:val="21"/>
          <w:szCs w:val="21"/>
          <w:shd w:val="clear" w:color="auto" w:fill="ffffff"/>
        </w:rPr>
      </w:r>
      <w:r/>
    </w:p>
    <w:p>
      <w:pPr>
        <w:pStyle w:val="869"/>
        <w:spacing w:line="360" w:lineRule="auto"/>
      </w:pPr>
      <w:r/>
      <w:r/>
    </w:p>
    <w:p>
      <w:pPr>
        <w:pStyle w:val="869"/>
        <w:jc w:val="center"/>
        <w:rPr>
          <w:rFonts w:hint="eastAsia" w:ascii="方正小标宋简体" w:hAnsi="方正小标宋简体" w:eastAsia="方正小标宋简体" w:cs="方正小标宋简体"/>
          <w:b w:val="0"/>
          <w:bCs w:val="0"/>
          <w:sz w:val="32"/>
          <w:szCs w:val="32"/>
        </w:rPr>
      </w:pPr>
      <w:r>
        <w:br w:type="page" w:clear="all"/>
      </w:r>
      <w:bookmarkEnd w:id="204"/>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spacing w:line="480" w:lineRule="exact"/>
        <w:rPr>
          <w:rFonts w:hint="eastAsia" w:ascii="宋体" w:hAnsi="宋体"/>
          <w:b w:val="0"/>
          <w:bCs/>
          <w:sz w:val="24"/>
          <w:szCs w:val="24"/>
        </w:rPr>
      </w:pPr>
      <w:r>
        <w:rPr>
          <w:rFonts w:hint="eastAsia" w:ascii="宋体" w:hAnsi="宋体"/>
          <w:b w:val="0"/>
          <w:bCs/>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val="0"/>
          <w:sz w:val="24"/>
          <w:szCs w:val="24"/>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ind w:firstLine="480"/>
        <w:spacing w:line="480" w:lineRule="exact"/>
        <w:rPr>
          <w:rFonts w:hint="eastAsia" w:ascii="宋体" w:hAnsi="宋体"/>
          <w:b w:val="0"/>
          <w:bCs w:val="0"/>
          <w:sz w:val="24"/>
          <w:szCs w:val="24"/>
          <w:highlight w:val="none"/>
        </w:rPr>
      </w:pPr>
      <w:r>
        <w:rPr>
          <w:rFonts w:hint="eastAsia" w:ascii="宋体" w:hAnsi="宋体"/>
          <w:b w:val="0"/>
          <w:bCs/>
          <w:sz w:val="24"/>
          <w:szCs w:val="24"/>
          <w:highlight w:val="none"/>
        </w:rPr>
      </w:r>
      <w:r>
        <w:rPr>
          <w:rFonts w:hint="eastAsia" w:ascii="宋体" w:hAnsi="宋体"/>
          <w:b w:val="0"/>
          <w:bCs/>
          <w:sz w:val="24"/>
          <w:szCs w:val="24"/>
          <w:highlight w:val="none"/>
        </w:rPr>
      </w:r>
      <w:r/>
    </w:p>
    <w:p>
      <w:pPr>
        <w:pStyle w:val="869"/>
        <w:ind w:firstLine="480"/>
        <w:spacing w:line="480" w:lineRule="exact"/>
        <w:rPr>
          <w:rFonts w:hint="eastAsia" w:ascii="宋体" w:hAnsi="宋体"/>
          <w:b w:val="0"/>
          <w:bCs w:val="0"/>
          <w:sz w:val="24"/>
          <w:szCs w:val="24"/>
          <w:highlight w:val="none"/>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69"/>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rPr>
        <w:rStyle w:val="942"/>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81"/>
    <w:link w:val="869"/>
    <w:qFormat/>
    <w:pPr>
      <w:jc w:val="both"/>
      <w:widowControl w:val="off"/>
    </w:pPr>
    <w:rPr>
      <w:sz w:val="21"/>
      <w:szCs w:val="22"/>
      <w:lang w:val="en-US" w:eastAsia="zh-CN" w:bidi="ar-SA"/>
    </w:rPr>
  </w:style>
  <w:style w:type="paragraph" w:styleId="870">
    <w:name w:val="标题 1"/>
    <w:basedOn w:val="869"/>
    <w:next w:val="869"/>
    <w:link w:val="886"/>
    <w:qFormat/>
    <w:pPr>
      <w:jc w:val="center"/>
      <w:keepNext/>
      <w:outlineLvl w:val="0"/>
    </w:pPr>
    <w:rPr>
      <w:rFonts w:ascii="楷体_GB2312" w:hAnsi="Times New Roman" w:eastAsia="楷体_GB2312" w:cs="Times New Roman"/>
      <w:sz w:val="28"/>
      <w:szCs w:val="28"/>
    </w:rPr>
  </w:style>
  <w:style w:type="paragraph" w:styleId="871">
    <w:name w:val="标题 2"/>
    <w:basedOn w:val="869"/>
    <w:next w:val="869"/>
    <w:link w:val="887"/>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9"/>
    <w:link w:val="8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9"/>
    <w:link w:val="891"/>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9"/>
    <w:link w:val="892"/>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1">
    <w:name w:val="正文首行缩进 2"/>
    <w:basedOn w:val="882"/>
    <w:next w:val="869"/>
    <w:link w:val="885"/>
    <w:pPr>
      <w:ind w:left="0" w:firstLine="420"/>
      <w:spacing w:after="0" w:line="360" w:lineRule="auto"/>
    </w:pPr>
    <w:rPr>
      <w:rFonts w:ascii="宋体" w:hAnsi="宋体" w:eastAsia="宋体" w:cs="Times New Roman"/>
      <w:szCs w:val="20"/>
    </w:rPr>
  </w:style>
  <w:style w:type="paragraph" w:styleId="882">
    <w:name w:val="正文文本缩进"/>
    <w:basedOn w:val="869"/>
    <w:next w:val="884"/>
    <w:link w:val="883"/>
    <w:unhideWhenUsed/>
    <w:pPr>
      <w:ind w:left="420"/>
      <w:spacing w:after="120"/>
    </w:pPr>
  </w:style>
  <w:style w:type="character" w:styleId="883">
    <w:name w:val="正文文本缩进 Char"/>
    <w:basedOn w:val="879"/>
    <w:next w:val="883"/>
    <w:link w:val="882"/>
    <w:uiPriority w:val="99"/>
    <w:semiHidden/>
  </w:style>
  <w:style w:type="paragraph" w:styleId="884">
    <w:name w:val="寄信人地址"/>
    <w:basedOn w:val="869"/>
    <w:next w:val="884"/>
    <w:link w:val="869"/>
    <w:qFormat/>
    <w:rPr>
      <w:rFonts w:ascii="Arial" w:hAnsi="Arial" w:eastAsia="宋体" w:cs="宋体"/>
    </w:rPr>
  </w:style>
  <w:style w:type="character" w:styleId="885">
    <w:name w:val="正文首行缩进 2 Char"/>
    <w:next w:val="885"/>
    <w:link w:val="881"/>
    <w:rPr>
      <w:rFonts w:ascii="宋体" w:hAnsi="宋体" w:eastAsia="宋体" w:cs="Times New Roman"/>
      <w:szCs w:val="20"/>
    </w:rPr>
  </w:style>
  <w:style w:type="character" w:styleId="886">
    <w:name w:val="标题 1 Char"/>
    <w:next w:val="886"/>
    <w:link w:val="870"/>
    <w:rPr>
      <w:rFonts w:ascii="楷体_GB2312" w:hAnsi="Times New Roman" w:eastAsia="楷体_GB2312" w:cs="Times New Roman"/>
      <w:sz w:val="28"/>
      <w:szCs w:val="28"/>
    </w:rPr>
  </w:style>
  <w:style w:type="character" w:styleId="887">
    <w:name w:val="标题 2 Char"/>
    <w:next w:val="887"/>
    <w:link w:val="871"/>
    <w:rPr>
      <w:rFonts w:ascii="Arial" w:hAnsi="Arial" w:eastAsia="幼圆" w:cs="Arial"/>
      <w:b/>
      <w:bCs/>
      <w:sz w:val="44"/>
      <w:szCs w:val="44"/>
    </w:rPr>
  </w:style>
  <w:style w:type="character" w:styleId="888">
    <w:name w:val="标题 3 Char"/>
    <w:next w:val="888"/>
    <w:link w:val="872"/>
    <w:rPr>
      <w:rFonts w:ascii="Times New Roman" w:hAnsi="Times New Roman" w:eastAsia="宋体" w:cs="Times New Roman"/>
      <w:b/>
      <w:bCs/>
      <w:sz w:val="32"/>
      <w:szCs w:val="32"/>
    </w:rPr>
  </w:style>
  <w:style w:type="paragraph" w:styleId="889">
    <w:name w:val="正文缩进"/>
    <w:basedOn w:val="869"/>
    <w:next w:val="889"/>
    <w:link w:val="890"/>
    <w:pPr>
      <w:ind w:firstLine="420"/>
    </w:pPr>
    <w:rPr>
      <w:szCs w:val="21"/>
    </w:rPr>
  </w:style>
  <w:style w:type="character" w:styleId="890">
    <w:name w:val="正文缩进 Char"/>
    <w:next w:val="890"/>
    <w:link w:val="889"/>
    <w:rPr>
      <w:szCs w:val="21"/>
    </w:rPr>
  </w:style>
  <w:style w:type="character" w:styleId="891">
    <w:name w:val="标题 4 Char"/>
    <w:next w:val="891"/>
    <w:link w:val="873"/>
    <w:rPr>
      <w:rFonts w:ascii="Arial" w:hAnsi="Arial" w:eastAsia="黑体" w:cs="Arial"/>
      <w:b/>
      <w:bCs/>
      <w:sz w:val="28"/>
      <w:szCs w:val="28"/>
    </w:rPr>
  </w:style>
  <w:style w:type="character" w:styleId="892">
    <w:name w:val="标题 5 Char"/>
    <w:next w:val="892"/>
    <w:link w:val="874"/>
    <w:rPr>
      <w:rFonts w:ascii="宋体" w:hAnsi="Times New Roman" w:eastAsia="宋体" w:cs="Times New Roman"/>
      <w:color w:val="000000"/>
      <w:sz w:val="28"/>
      <w:szCs w:val="28"/>
    </w:rPr>
  </w:style>
  <w:style w:type="character" w:styleId="893">
    <w:name w:val="标题 6 Char"/>
    <w:next w:val="893"/>
    <w:link w:val="875"/>
    <w:rPr>
      <w:rFonts w:ascii="Arial" w:hAnsi="Arial" w:eastAsia="黑体" w:cs="Times New Roman"/>
      <w:b/>
      <w:bCs/>
      <w:sz w:val="24"/>
      <w:szCs w:val="24"/>
    </w:rPr>
  </w:style>
  <w:style w:type="character" w:styleId="894">
    <w:name w:val="标题 7 Char"/>
    <w:next w:val="894"/>
    <w:link w:val="876"/>
    <w:rPr>
      <w:rFonts w:ascii="Times New Roman" w:hAnsi="Times New Roman" w:eastAsia="宋体" w:cs="Times New Roman"/>
      <w:b/>
      <w:bCs/>
      <w:sz w:val="24"/>
      <w:szCs w:val="24"/>
    </w:rPr>
  </w:style>
  <w:style w:type="character" w:styleId="895">
    <w:name w:val="标题 8 Char"/>
    <w:next w:val="895"/>
    <w:link w:val="877"/>
    <w:rPr>
      <w:rFonts w:ascii="Arial" w:hAnsi="Arial" w:eastAsia="黑体" w:cs="Times New Roman"/>
      <w:sz w:val="24"/>
      <w:szCs w:val="24"/>
    </w:rPr>
  </w:style>
  <w:style w:type="character" w:styleId="896">
    <w:name w:val="标题 9 Char"/>
    <w:next w:val="896"/>
    <w:link w:val="878"/>
    <w:rPr>
      <w:rFonts w:ascii="Arial" w:hAnsi="Arial" w:eastAsia="黑体" w:cs="Times New Roman"/>
      <w:szCs w:val="21"/>
    </w:rPr>
  </w:style>
  <w:style w:type="paragraph" w:styleId="897">
    <w:name w:val="列表 3"/>
    <w:basedOn w:val="869"/>
    <w:next w:val="897"/>
    <w:link w:val="869"/>
    <w:pPr>
      <w:ind w:left="100" w:hanging="200"/>
    </w:pPr>
    <w:rPr>
      <w:rFonts w:ascii="Times New Roman" w:hAnsi="Times New Roman" w:eastAsia="宋体" w:cs="Times New Roman"/>
      <w:szCs w:val="21"/>
    </w:rPr>
  </w:style>
  <w:style w:type="paragraph" w:styleId="898">
    <w:name w:val="目录 7"/>
    <w:basedOn w:val="869"/>
    <w:next w:val="869"/>
    <w:link w:val="869"/>
    <w:semiHidden/>
    <w:pPr>
      <w:ind w:left="1260"/>
      <w:jc w:val="left"/>
    </w:pPr>
    <w:rPr>
      <w:rFonts w:ascii="Times New Roman" w:hAnsi="Times New Roman" w:eastAsia="宋体" w:cs="Times New Roman"/>
      <w:szCs w:val="21"/>
    </w:rPr>
  </w:style>
  <w:style w:type="paragraph" w:styleId="899">
    <w:name w:val="文档结构图"/>
    <w:basedOn w:val="869"/>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69"/>
    <w:next w:val="901"/>
    <w:link w:val="902"/>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02">
    <w:name w:val="批注文字 字符"/>
    <w:basedOn w:val="879"/>
    <w:next w:val="902"/>
    <w:link w:val="901"/>
    <w:rPr>
      <w:rFonts w:ascii="Calibri" w:hAnsi="Calibri" w:eastAsia="宋体" w:cs="Times New Roman"/>
      <w:sz w:val="21"/>
      <w:szCs w:val="24"/>
    </w:rPr>
  </w:style>
  <w:style w:type="paragraph" w:styleId="903">
    <w:name w:val="正文文本 3"/>
    <w:basedOn w:val="869"/>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69"/>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列表 2"/>
    <w:basedOn w:val="869"/>
    <w:next w:val="907"/>
    <w:link w:val="869"/>
    <w:pPr>
      <w:ind w:left="100" w:hanging="200"/>
    </w:pPr>
    <w:rPr>
      <w:rFonts w:ascii="Times New Roman" w:hAnsi="Times New Roman" w:eastAsia="宋体" w:cs="Times New Roman"/>
      <w:szCs w:val="21"/>
    </w:rPr>
  </w:style>
  <w:style w:type="paragraph" w:styleId="908">
    <w:name w:val="目录 5"/>
    <w:basedOn w:val="869"/>
    <w:next w:val="869"/>
    <w:link w:val="869"/>
    <w:semiHidden/>
    <w:pPr>
      <w:ind w:left="840"/>
      <w:jc w:val="left"/>
    </w:pPr>
    <w:rPr>
      <w:rFonts w:ascii="Times New Roman" w:hAnsi="Times New Roman" w:eastAsia="宋体" w:cs="Times New Roman"/>
      <w:szCs w:val="21"/>
    </w:rPr>
  </w:style>
  <w:style w:type="paragraph" w:styleId="909">
    <w:name w:val="目录 3"/>
    <w:basedOn w:val="869"/>
    <w:next w:val="869"/>
    <w:link w:val="869"/>
    <w:semiHidden/>
    <w:pPr>
      <w:ind w:left="420"/>
      <w:jc w:val="left"/>
    </w:pPr>
    <w:rPr>
      <w:rFonts w:ascii="Times New Roman" w:hAnsi="Times New Roman" w:eastAsia="宋体" w:cs="Times New Roman"/>
      <w:i/>
      <w:iCs/>
      <w:szCs w:val="24"/>
    </w:rPr>
  </w:style>
  <w:style w:type="paragraph" w:styleId="910">
    <w:name w:val="纯文本"/>
    <w:basedOn w:val="869"/>
    <w:next w:val="910"/>
    <w:link w:val="911"/>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9"/>
    <w:next w:val="869"/>
    <w:link w:val="869"/>
    <w:semiHidden/>
    <w:pPr>
      <w:ind w:left="1470"/>
      <w:jc w:val="left"/>
    </w:pPr>
    <w:rPr>
      <w:rFonts w:ascii="Times New Roman" w:hAnsi="Times New Roman" w:eastAsia="宋体" w:cs="Times New Roman"/>
      <w:szCs w:val="21"/>
    </w:rPr>
  </w:style>
  <w:style w:type="paragraph" w:styleId="913">
    <w:name w:val="日期"/>
    <w:basedOn w:val="869"/>
    <w:next w:val="869"/>
    <w:link w:val="914"/>
    <w:rPr>
      <w:rFonts w:ascii="Times New Roman" w:hAnsi="Times New Roman" w:eastAsia="宋体" w:cs="Times New Roman"/>
      <w:sz w:val="24"/>
      <w:szCs w:val="24"/>
    </w:rPr>
  </w:style>
  <w:style w:type="character" w:styleId="914">
    <w:name w:val="日期 Char"/>
    <w:next w:val="914"/>
    <w:link w:val="913"/>
    <w:rPr>
      <w:rFonts w:ascii="Times New Roman" w:hAnsi="Times New Roman" w:eastAsia="宋体" w:cs="Times New Roman"/>
      <w:sz w:val="24"/>
      <w:szCs w:val="24"/>
    </w:rPr>
  </w:style>
  <w:style w:type="paragraph" w:styleId="915">
    <w:name w:val="正文文本缩进 2"/>
    <w:basedOn w:val="869"/>
    <w:next w:val="915"/>
    <w:link w:val="916"/>
    <w:pPr>
      <w:ind w:left="630" w:firstLine="645"/>
    </w:pPr>
    <w:rPr>
      <w:rFonts w:ascii="Arial" w:hAnsi="Arial" w:eastAsia="仿宋_GB2312" w:cs="Arial"/>
      <w:sz w:val="32"/>
      <w:szCs w:val="32"/>
    </w:rPr>
  </w:style>
  <w:style w:type="character" w:styleId="916">
    <w:name w:val="正文文本缩进 2 Char"/>
    <w:next w:val="916"/>
    <w:link w:val="915"/>
    <w:rPr>
      <w:rFonts w:ascii="Arial" w:hAnsi="Arial" w:eastAsia="仿宋_GB2312" w:cs="Arial"/>
      <w:sz w:val="32"/>
      <w:szCs w:val="32"/>
    </w:rPr>
  </w:style>
  <w:style w:type="paragraph" w:styleId="917">
    <w:name w:val="批注框文本"/>
    <w:basedOn w:val="869"/>
    <w:next w:val="917"/>
    <w:link w:val="918"/>
    <w:semiHidden/>
    <w:rPr>
      <w:rFonts w:ascii="Times New Roman" w:hAnsi="Times New Roman" w:eastAsia="宋体" w:cs="Times New Roman"/>
      <w:sz w:val="18"/>
      <w:szCs w:val="18"/>
    </w:rPr>
  </w:style>
  <w:style w:type="character" w:styleId="918">
    <w:name w:val="批注框文本 Char"/>
    <w:next w:val="918"/>
    <w:link w:val="917"/>
    <w:semiHidden/>
    <w:rPr>
      <w:rFonts w:ascii="Times New Roman" w:hAnsi="Times New Roman" w:eastAsia="宋体" w:cs="Times New Roman"/>
      <w:sz w:val="18"/>
      <w:szCs w:val="18"/>
    </w:rPr>
  </w:style>
  <w:style w:type="paragraph" w:styleId="919">
    <w:name w:val="页脚"/>
    <w:basedOn w:val="869"/>
    <w:next w:val="919"/>
    <w:link w:val="920"/>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rPr>
      <w:rFonts w:ascii="Times New Roman" w:hAnsi="Times New Roman" w:eastAsia="宋体" w:cs="Times New Roman"/>
      <w:sz w:val="18"/>
      <w:szCs w:val="18"/>
    </w:rPr>
  </w:style>
  <w:style w:type="paragraph" w:styleId="921">
    <w:name w:val="页眉"/>
    <w:basedOn w:val="869"/>
    <w:next w:val="921"/>
    <w:link w:val="92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9"/>
    <w:next w:val="869"/>
    <w:link w:val="869"/>
    <w:semiHidden/>
    <w:pPr>
      <w:ind w:left="630"/>
      <w:jc w:val="left"/>
    </w:pPr>
    <w:rPr>
      <w:rFonts w:ascii="Times New Roman" w:hAnsi="Times New Roman" w:eastAsia="宋体" w:cs="Times New Roman"/>
      <w:szCs w:val="21"/>
    </w:rPr>
  </w:style>
  <w:style w:type="paragraph" w:styleId="925">
    <w:name w:val="列表"/>
    <w:basedOn w:val="869"/>
    <w:next w:val="925"/>
    <w:link w:val="869"/>
    <w:pPr>
      <w:ind w:left="200" w:hanging="200"/>
    </w:pPr>
    <w:rPr>
      <w:rFonts w:ascii="Times New Roman" w:hAnsi="Times New Roman" w:eastAsia="宋体" w:cs="Times New Roman"/>
      <w:szCs w:val="21"/>
    </w:rPr>
  </w:style>
  <w:style w:type="paragraph" w:styleId="926">
    <w:name w:val="目录 6"/>
    <w:basedOn w:val="869"/>
    <w:next w:val="869"/>
    <w:link w:val="869"/>
    <w:semiHidden/>
    <w:pPr>
      <w:ind w:left="1050"/>
      <w:jc w:val="left"/>
    </w:pPr>
    <w:rPr>
      <w:rFonts w:ascii="Times New Roman" w:hAnsi="Times New Roman" w:eastAsia="宋体" w:cs="Times New Roman"/>
      <w:szCs w:val="21"/>
    </w:rPr>
  </w:style>
  <w:style w:type="paragraph" w:styleId="927">
    <w:name w:val="正文文本缩进 3"/>
    <w:basedOn w:val="869"/>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9"/>
    <w:next w:val="869"/>
    <w:link w:val="869"/>
    <w:semiHidden/>
    <w:pPr>
      <w:ind w:left="840" w:hanging="420"/>
    </w:pPr>
    <w:rPr>
      <w:rFonts w:ascii="Times New Roman" w:hAnsi="Times New Roman" w:eastAsia="宋体" w:cs="Times New Roman"/>
      <w:szCs w:val="21"/>
    </w:rPr>
  </w:style>
  <w:style w:type="paragraph" w:styleId="930">
    <w:name w:val="目录 2"/>
    <w:basedOn w:val="869"/>
    <w:next w:val="869"/>
    <w:link w:val="869"/>
    <w:semiHidden/>
    <w:pPr>
      <w:ind w:left="210"/>
      <w:jc w:val="left"/>
    </w:pPr>
    <w:rPr>
      <w:rFonts w:ascii="Times New Roman" w:hAnsi="Times New Roman" w:eastAsia="宋体" w:cs="Times New Roman"/>
      <w:smallCaps/>
      <w:szCs w:val="24"/>
    </w:rPr>
  </w:style>
  <w:style w:type="paragraph" w:styleId="931">
    <w:name w:val="目录 9"/>
    <w:basedOn w:val="869"/>
    <w:next w:val="869"/>
    <w:link w:val="869"/>
    <w:semiHidden/>
    <w:pPr>
      <w:ind w:left="1680"/>
      <w:jc w:val="left"/>
    </w:pPr>
    <w:rPr>
      <w:rFonts w:ascii="Times New Roman" w:hAnsi="Times New Roman" w:eastAsia="宋体" w:cs="Times New Roman"/>
      <w:szCs w:val="21"/>
    </w:rPr>
  </w:style>
  <w:style w:type="paragraph" w:styleId="932">
    <w:name w:val="正文文本 2"/>
    <w:basedOn w:val="869"/>
    <w:next w:val="932"/>
    <w:link w:val="933"/>
    <w:pPr>
      <w:jc w:val="center"/>
      <w:widowControl/>
    </w:pPr>
    <w:rPr>
      <w:rFonts w:ascii="楷体_GB2312" w:hAnsi="Times New Roman" w:eastAsia="楷体_GB2312" w:cs="Times New Roman"/>
      <w:sz w:val="28"/>
      <w:szCs w:val="28"/>
    </w:rPr>
  </w:style>
  <w:style w:type="character" w:styleId="933">
    <w:name w:val="正文文本 2 Char"/>
    <w:next w:val="933"/>
    <w:link w:val="932"/>
    <w:rPr>
      <w:rFonts w:ascii="楷体_GB2312" w:hAnsi="Times New Roman" w:eastAsia="楷体_GB2312" w:cs="Times New Roman"/>
      <w:sz w:val="28"/>
      <w:szCs w:val="28"/>
    </w:rPr>
  </w:style>
  <w:style w:type="paragraph" w:styleId="934">
    <w:name w:val="普通(网站)"/>
    <w:basedOn w:val="869"/>
    <w:next w:val="934"/>
    <w:link w:val="869"/>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9"/>
    <w:next w:val="869"/>
    <w:link w:val="869"/>
    <w:semiHidden/>
    <w:pPr>
      <w:spacing w:line="240" w:lineRule="atLeast"/>
    </w:pPr>
    <w:rPr>
      <w:rFonts w:ascii="Times New Roman" w:hAnsi="Times New Roman" w:eastAsia="宋体" w:cs="Times New Roman"/>
      <w:b/>
      <w:bCs/>
      <w:szCs w:val="21"/>
    </w:rPr>
  </w:style>
  <w:style w:type="paragraph" w:styleId="936">
    <w:name w:val="批注主题"/>
    <w:basedOn w:val="901"/>
    <w:next w:val="901"/>
    <w:link w:val="937"/>
    <w:semiHidden/>
    <w:rPr>
      <w:rFonts w:ascii="Times New Roman" w:hAnsi="Times New Roman" w:eastAsia="宋体" w:cs="Times New Roman"/>
      <w:b/>
      <w:bCs/>
      <w:szCs w:val="21"/>
    </w:rPr>
  </w:style>
  <w:style w:type="character" w:styleId="937">
    <w:name w:val="批注主题 Char"/>
    <w:next w:val="937"/>
    <w:link w:val="936"/>
    <w:semiHidden/>
    <w:rPr>
      <w:rFonts w:ascii="Times New Roman" w:hAnsi="Times New Roman" w:eastAsia="宋体" w:cs="Times New Roman"/>
      <w:b/>
      <w:bCs/>
      <w:szCs w:val="21"/>
    </w:rPr>
  </w:style>
  <w:style w:type="paragraph" w:styleId="938">
    <w:name w:val="正文首行缩进"/>
    <w:basedOn w:val="869"/>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rPr>
      <w:rFonts w:ascii="仿宋_GB2312" w:hAnsi="Times New Roman" w:eastAsia="仿宋_GB2312" w:cs="Times New Roman"/>
      <w:sz w:val="30"/>
      <w:szCs w:val="3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character" w:styleId="947">
    <w:name w:val="批注文字 Char"/>
    <w:basedOn w:val="879"/>
    <w:next w:val="947"/>
    <w:link w:val="901"/>
    <w:uiPriority w:val="99"/>
    <w:semiHidden/>
  </w:style>
  <w:style w:type="paragraph" w:styleId="948">
    <w:name w:val="索引 41"/>
    <w:basedOn w:val="869"/>
    <w:next w:val="869"/>
    <w:link w:val="869"/>
    <w:semiHidden/>
    <w:qFormat/>
    <w:pPr>
      <w:ind w:left="1260"/>
    </w:pPr>
    <w:rPr>
      <w:rFonts w:ascii="Calibri" w:hAnsi="Calibri" w:eastAsia="Calibri" w:cs="宋体"/>
      <w:sz w:val="20"/>
      <w:lang w:val="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5"/>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9"/>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9"/>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7"/>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9"/>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12"/>
    <w:basedOn w:val="869"/>
    <w:next w:val="986"/>
    <w:link w:val="869"/>
    <w:uiPriority w:val="1"/>
    <w:qFormat/>
    <w:pPr>
      <w:ind w:left="120"/>
    </w:pPr>
    <w:rPr>
      <w:rFonts w:ascii="宋体" w:hAnsi="宋体" w:eastAsia="宋体" w:cs="宋体"/>
      <w:sz w:val="21"/>
      <w:szCs w:val="21"/>
      <w:lang w:val="zh-CN" w:eastAsia="zh-CN" w:bidi="zh-CN"/>
    </w:rPr>
  </w:style>
  <w:style w:type="paragraph" w:styleId="987">
    <w:name w:val="正文文本 211"/>
    <w:basedOn w:val="869"/>
    <w:next w:val="987"/>
    <w:link w:val="869"/>
    <w:uiPriority w:val="99"/>
    <w:qFormat/>
    <w:pPr>
      <w:jc w:val="center"/>
    </w:pPr>
    <w:rPr>
      <w:b/>
      <w:bCs/>
      <w:sz w:val="20"/>
      <w:szCs w:val="20"/>
    </w:rPr>
  </w:style>
  <w:style w:type="paragraph" w:styleId="988">
    <w:name w:val="正文文本1"/>
    <w:basedOn w:val="869"/>
    <w:next w:val="869"/>
    <w:link w:val="869"/>
    <w:semiHidden/>
    <w:qFormat/>
    <w:rPr>
      <w:rFonts w:ascii="Arial" w:hAnsi="Arial" w:eastAsia="Arial" w:cs="Arial"/>
      <w:sz w:val="21"/>
      <w:szCs w:val="21"/>
      <w:lang w:val="en-US" w:eastAsia="en-US" w:bidi="ar-SA"/>
    </w:rPr>
  </w:style>
  <w:style w:type="paragraph" w:styleId="989">
    <w:name w:val="Table Paragraph"/>
    <w:basedOn w:val="869"/>
    <w:next w:val="989"/>
    <w:link w:val="869"/>
    <w:uiPriority w:val="1"/>
    <w:qFormat/>
    <w:pPr>
      <w:jc w:val="left"/>
    </w:pPr>
    <w:rPr>
      <w:rFonts w:ascii="宋体" w:hAnsi="宋体" w:eastAsia="宋体" w:cs="宋体"/>
      <w:sz w:val="22"/>
      <w:szCs w:val="22"/>
      <w:lang w:val="zh-CN" w:bidi="zh-CN"/>
    </w:rPr>
  </w:style>
  <w:style w:type="table" w:styleId="990">
    <w:name w:val="网格型1"/>
    <w:basedOn w:val="991"/>
    <w:next w:val="990"/>
    <w:link w:val="869"/>
    <w:qFormat/>
    <w:pPr>
      <w:jc w:val="both"/>
      <w:widowControl w:val="off"/>
    </w:pPr>
    <w:tblPr/>
  </w:style>
  <w:style w:type="table" w:styleId="991">
    <w:name w:val="普通表格1"/>
    <w:next w:val="991"/>
    <w:link w:val="869"/>
    <w:uiPriority w:val="99"/>
    <w:unhideWhenUsed/>
    <w:qFormat/>
    <w:tblPr/>
  </w:style>
  <w:style w:type="paragraph" w:styleId="992">
    <w:name w:val="正文文本缩进1"/>
    <w:basedOn w:val="869"/>
    <w:next w:val="993"/>
    <w:link w:val="869"/>
    <w:unhideWhenUsed/>
    <w:qFormat/>
    <w:pPr>
      <w:ind w:left="420"/>
      <w:spacing w:after="120"/>
    </w:pPr>
  </w:style>
  <w:style w:type="paragraph" w:styleId="993">
    <w:name w:val="正文文本首行缩进 2"/>
    <w:basedOn w:val="992"/>
    <w:next w:val="993"/>
    <w:link w:val="869"/>
    <w:qFormat/>
    <w:pPr>
      <w:ind w:left="0" w:firstLine="420"/>
      <w:spacing w:after="0" w:line="360" w:lineRule="auto"/>
    </w:pPr>
    <w:rPr>
      <w:rFonts w:ascii="宋体" w:hAnsi="宋体"/>
      <w:sz w:val="20"/>
      <w:szCs w:val="20"/>
      <w:lang w:val="en-US" w:eastAsia="en-US"/>
    </w:rPr>
  </w:style>
  <w:style w:type="table" w:styleId="994">
    <w:name w:val="Table Normal_0"/>
    <w:next w:val="994"/>
    <w:link w:val="869"/>
    <w:qFormat/>
    <w:tblPr/>
  </w:style>
  <w:style w:type="paragraph" w:styleId="995">
    <w:name w:val="正文首行缩进 211"/>
    <w:basedOn w:val="996"/>
    <w:next w:val="869"/>
    <w:link w:val="869"/>
    <w:qFormat/>
    <w:pPr>
      <w:ind w:left="0" w:firstLine="420"/>
      <w:spacing w:after="0" w:line="360" w:lineRule="auto"/>
    </w:pPr>
    <w:rPr>
      <w:rFonts w:ascii="宋体" w:hAnsi="宋体" w:eastAsia="宋体" w:cs="Times New Roman"/>
      <w:szCs w:val="20"/>
    </w:rPr>
  </w:style>
  <w:style w:type="paragraph" w:styleId="996">
    <w:name w:val="正文文本缩进11"/>
    <w:basedOn w:val="869"/>
    <w:next w:val="997"/>
    <w:link w:val="869"/>
    <w:unhideWhenUsed/>
    <w:qFormat/>
    <w:pPr>
      <w:ind w:left="420"/>
      <w:spacing w:after="120"/>
    </w:pPr>
  </w:style>
  <w:style w:type="paragraph" w:styleId="997">
    <w:name w:val="寄信人地址1"/>
    <w:basedOn w:val="869"/>
    <w:next w:val="997"/>
    <w:link w:val="869"/>
    <w:qFormat/>
    <w:rPr>
      <w:rFonts w:ascii="Arial" w:hAnsi="Arial" w:eastAsia="宋体" w:cs="宋体"/>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8</cp:revision>
  <dcterms:created xsi:type="dcterms:W3CDTF">2023-03-16T02:13:00Z</dcterms:created>
  <dcterms:modified xsi:type="dcterms:W3CDTF">2026-06-04T09:10:51Z</dcterms:modified>
</cp:coreProperties>
</file>